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uppressAutoHyphens w:val="1"/>
        <w:spacing w:lineRule="auto" w:line="240" w:after="0" w:beforeAutospacing="0" w:afterAutospacing="0"/>
        <w:jc w:val="center"/>
        <w:rPr>
          <w:rFonts w:ascii="Times New Roman" w:hAnsi="Times New Roman"/>
          <w:b w:val="1"/>
          <w:color w:val="000000"/>
          <w:sz w:val="28"/>
          <w:szCs w:val="28"/>
          <w:lang w:bidi="hi-IN" w:eastAsia="zh-CN"/>
        </w:rPr>
      </w:pPr>
      <w:r>
        <w:rPr>
          <w:rFonts w:ascii="Times New Roman" w:hAnsi="Times New Roman"/>
          <w:b w:val="1"/>
          <w:color w:val="000000"/>
          <w:sz w:val="28"/>
          <w:szCs w:val="28"/>
          <w:lang w:bidi="hi-IN" w:eastAsia="zh-CN"/>
        </w:rPr>
        <w:t>Звіт</w:t>
      </w:r>
      <w:r>
        <w:rPr>
          <w:rFonts w:ascii="Times New Roman" w:hAnsi="Times New Roman"/>
          <w:color w:val="333333"/>
          <w:sz w:val="24"/>
          <w:szCs w:val="24"/>
          <w:highlight w:val="white"/>
          <w:lang w:bidi="hi-IN" w:eastAsia="zh-CN"/>
        </w:rPr>
        <w:t xml:space="preserve"> </w:t>
      </w:r>
    </w:p>
    <w:p>
      <w:pPr>
        <w:suppressAutoHyphens w:val="1"/>
        <w:spacing w:lineRule="auto" w:line="240" w:after="0" w:beforeAutospacing="0" w:afterAutospacing="0"/>
        <w:jc w:val="center"/>
        <w:rPr>
          <w:rFonts w:ascii="Times New Roman" w:hAnsi="Times New Roman"/>
          <w:b w:val="1"/>
          <w:color w:val="000000"/>
          <w:sz w:val="28"/>
          <w:szCs w:val="28"/>
          <w:lang w:bidi="hi-IN" w:eastAsia="zh-CN"/>
        </w:rPr>
      </w:pPr>
      <w:r>
        <w:rPr>
          <w:rFonts w:ascii="Times New Roman" w:hAnsi="Times New Roman"/>
          <w:b w:val="1"/>
          <w:color w:val="000000"/>
          <w:sz w:val="28"/>
          <w:szCs w:val="28"/>
          <w:lang w:bidi="hi-IN" w:eastAsia="zh-CN"/>
        </w:rPr>
        <w:t xml:space="preserve">про виконання річного плану здійснення заходів державного нагляду (контролю) КРАІЛ </w:t>
      </w:r>
    </w:p>
    <w:p>
      <w:pPr>
        <w:suppressAutoHyphens w:val="1"/>
        <w:spacing w:lineRule="auto" w:line="240" w:after="0" w:beforeAutospacing="0" w:afterAutospacing="0"/>
        <w:jc w:val="center"/>
        <w:rPr>
          <w:rFonts w:ascii="Times New Roman" w:hAnsi="Times New Roman"/>
          <w:b w:val="1"/>
          <w:color w:val="000000"/>
          <w:sz w:val="28"/>
          <w:szCs w:val="28"/>
          <w:lang w:bidi="hi-IN" w:eastAsia="zh-CN"/>
        </w:rPr>
      </w:pPr>
    </w:p>
    <w:p>
      <w:pPr>
        <w:suppressAutoHyphens w:val="1"/>
        <w:spacing w:lineRule="auto" w:line="240" w:after="0" w:beforeAutospacing="0" w:afterAutospacing="0"/>
        <w:ind w:firstLine="708"/>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Закон України «Про державне регулювання діяльності щодо організації та проведення азартних ігор» (далі – Закон) визначає правові засади здійснення державного регулювання господарської діяльності у сфері організації та проведення азартних ігор в Україні, визначає правові, економічні, соціальні та організаційні умови функціонування азартних ігор.</w:t>
      </w:r>
    </w:p>
    <w:p>
      <w:pPr>
        <w:shd w:val="clear" w:fill="FFFFFF"/>
        <w:suppressAutoHyphens w:val="1"/>
        <w:spacing w:lineRule="auto" w:line="240" w:after="0" w:beforeAutospacing="0" w:afterAutospacing="0"/>
        <w:ind w:firstLine="708"/>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Згідно з Положенням про Комісію з регулювання азартних ігор та лотерей, затвердженим Постановою Кабінету Міністрів України від 23.09.2020 № 891, КРАІЛ є центральним органом виконавчої влади із спеціальним статусом, що забезпечує державне регулювання діяльності у сфері організації та проведення азартних ігор та лотерей.</w:t>
      </w:r>
    </w:p>
    <w:p>
      <w:pPr>
        <w:shd w:val="clear" w:fill="FFFFFF"/>
        <w:suppressAutoHyphens w:val="1"/>
        <w:spacing w:lineRule="auto" w:line="240" w:after="0" w:beforeAutospacing="0" w:afterAutospacing="0"/>
        <w:ind w:firstLine="708"/>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Відповідно до пункту 21 частини першої статті 8 Закону на КРАІЛ покладено повноваження щодо організації та здійснення державного контролю за організацією та проведенням азартних ігор, зокрема контролю за додержанням Закону, ліцензійних умов, шляхом проведення планових, позапланових та фактичних перевірок, у тому числі методом контрольних закупок.</w:t>
      </w: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 xml:space="preserve">КРАІЛ рішенням від 23.11.2021 № 749 було затверджено Річний план здійснення заходів державного нагляду (контролю) Комісії з регулювання азартних ігор та лотерей на 2022 рік. </w:t>
      </w: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 xml:space="preserve">Втім, відповідно до пункту 1 постанови Кабінету Міністрів України                 від 13 березня 2022 року № 303 «Про припинення заходів державного нагляду (контролю) і державного ринкового нагляду в умовах воєнного стану» КРАІЛ було припинено проведення планових та позапланових заходів державного нагляду (контролю) і державного ринкового нагляду на період воєнного стану, введеного Указом Президента України від 24 лютого 2022 року № 64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 2102-IX. </w:t>
      </w: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 xml:space="preserve">У свою чергу пунктом 3 розділу 6 протоколу засідання Кабінету Міністрів України від 05 серпня 2022 року (витяг з протоколу № 108) КРАІЛ було надано дозвіл на здійснення позапланових заходів державного нагляду (контролю) у сфері організації та проведення азартних ігор в період воєнного часу. </w:t>
      </w: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 xml:space="preserve">Відтак, з серпня 2022 року КРАІЛ розпочато проведення позапланових перевірок у сфері організації та проведення азартних ігор. </w:t>
      </w: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Загалом за 2022 рік КРАІЛ проведено 5 позапланових перевірок, що були проведені за результатами опрацювання повідомлень про порушення, які надійшли до КРАІЛ, та за результатами яких встановлено наявність порушень законодавства у сфері організації та проведення азартних ігор і складено 3 приписи про усунення порушень, виявлених за результатами проведення позапланових перевірок організаторів азартних ігор.</w:t>
      </w: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r>
        <w:rPr>
          <w:rFonts w:ascii="Times New Roman" w:hAnsi="Times New Roman"/>
          <w:color w:val="000000"/>
          <w:sz w:val="28"/>
          <w:szCs w:val="28"/>
          <w:lang w:bidi="hi-IN" w:eastAsia="zh-CN"/>
        </w:rPr>
        <w:t xml:space="preserve">Крім того, КРАІЛ проведено оцінку ступеня ризику від провадження організаторами азартних ігор господарської діяльності у сфері організації та проведення азартних ігор на 2023 рік та визначено Перелік суб’єктів господарювання, які підлягають плановим заходам державного нагляду (контролю) у 2023 році, що затверджений рішенням КРАІЛ від 07.11.2022                 № 379 «Про визначення Переліку суб’єктів господарювання, які підлягають плановим заходам державного нагляду (контролю) у 2023 році».</w:t>
      </w: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p>
      <w:pPr>
        <w:shd w:val="clear" w:fill="FFFFFF"/>
        <w:suppressAutoHyphens w:val="1"/>
        <w:spacing w:lineRule="auto" w:line="240" w:after="0" w:beforeAutospacing="0" w:afterAutospacing="0"/>
        <w:ind w:firstLine="709"/>
        <w:jc w:val="both"/>
        <w:rPr>
          <w:rFonts w:ascii="Times New Roman" w:hAnsi="Times New Roman"/>
          <w:color w:val="000000"/>
          <w:sz w:val="28"/>
          <w:szCs w:val="28"/>
          <w:lang w:bidi="hi-IN" w:eastAsia="zh-CN"/>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footnotePr/>
      <w:endnotePr/>
      <w:type w:val="nextPage"/>
      <w:pgSz w:w="11907" w:h="16839" w:code="9"/>
      <w:pgMar w:left="1701" w:right="709" w:top="850" w:bottom="1757" w:header="709"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noProof w:val="1"/>
        <w:sz w:val="28"/>
        <w:szCs w:val="28"/>
      </w:rPr>
      <w:t>#</w:t>
    </w:r>
    <w:r>
      <w:rPr>
        <w:rFonts w:ascii="Times New Roman" w:hAnsi="Times New Roman"/>
        <w:sz w:val="28"/>
        <w:szCs w:val="28"/>
      </w:rPr>
      <w:fldChar w:fldCharType="end"/>
    </w:r>
  </w:p>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3"/>
    <w:pPr>
      <w:tabs>
        <w:tab w:val="center" w:pos="4819" w:leader="none"/>
        <w:tab w:val="right" w:pos="9639" w:leader="none"/>
      </w:tabs>
      <w:spacing w:lineRule="auto" w:line="240" w:after="0" w:beforeAutospacing="0" w:afterAutospacing="0"/>
    </w:pPr>
    <w:rPr/>
  </w:style>
  <w:style w:type="paragraph" w:styleId="P2">
    <w:name w:val="footer"/>
    <w:basedOn w:val="P0"/>
    <w:link w:val="C4"/>
    <w:pPr>
      <w:tabs>
        <w:tab w:val="center" w:pos="4819" w:leader="none"/>
        <w:tab w:val="right" w:pos="9639" w:leader="none"/>
      </w:tabs>
      <w:spacing w:lineRule="auto" w:line="240" w:after="0" w:beforeAutospacing="0" w:afterAutospacing="0"/>
    </w:pPr>
    <w:rPr/>
  </w:style>
  <w:style w:type="paragraph" w:styleId="P3">
    <w:name w:val="footnote text"/>
    <w:link w:val="C6"/>
    <w:semiHidden/>
    <w:pPr>
      <w:spacing w:lineRule="auto" w:line="240" w:after="0"/>
    </w:pPr>
    <w:rPr>
      <w:sz w:val="20"/>
      <w:szCs w:val="20"/>
    </w:rPr>
  </w:style>
  <w:style w:type="paragraph" w:styleId="P4">
    <w:name w:val="endnote text"/>
    <w:link w:val="C8"/>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ій колонтитул Знак"/>
    <w:basedOn w:val="C0"/>
    <w:link w:val="P1"/>
    <w:rPr/>
  </w:style>
  <w:style w:type="character" w:styleId="C4">
    <w:name w:val="Нижній колонтитул Знак"/>
    <w:basedOn w:val="C0"/>
    <w:link w:val="P2"/>
    <w:rPr/>
  </w:style>
  <w:style w:type="character" w:styleId="C5">
    <w:name w:val="footnote reference"/>
    <w:semiHidden/>
    <w:rPr>
      <w:vertAlign w:val="superscript"/>
    </w:rPr>
  </w:style>
  <w:style w:type="character" w:styleId="C6">
    <w:name w:val="Footnote Text Char"/>
    <w:link w:val="P3"/>
    <w:semiHidden/>
    <w:rPr>
      <w:sz w:val="20"/>
      <w:szCs w:val="20"/>
    </w:rPr>
  </w:style>
  <w:style w:type="character" w:styleId="C7">
    <w:name w:val="endnote reference"/>
    <w:semiHidden/>
    <w:rPr>
      <w:vertAlign w:val="superscript"/>
    </w:rPr>
  </w:style>
  <w:style w:type="character" w:styleId="C8">
    <w:name w:val="Endnote Text Char"/>
    <w:link w:val="P4"/>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Сітка таблиці1"/>
    <w:basedOn w:val="T0"/>
    <w:pPr>
      <w:spacing w:lineRule="auto" w:line="240" w:after="0" w:beforeAutospacing="0" w:afterAutospacing="0"/>
    </w:pPr>
    <w:rPr>
      <w:lang w:val="ru-RU"/>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er3.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_rels/header3.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Кирик Алла Петрівна</dc:creator>
  <dcterms:created xsi:type="dcterms:W3CDTF">2023-03-15T10:49:00Z</dcterms:created>
  <cp:lastModifiedBy>ASKOD</cp:lastModifiedBy>
  <cp:lastPrinted>2023-03-21T13:19:00Z</cp:lastPrinted>
  <dcterms:modified xsi:type="dcterms:W3CDTF">2023-03-28T13:55:41Z</dcterms:modified>
  <cp:revision>12</cp:revision>
</cp:coreProperties>
</file>