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10" w:rsidRPr="002B4AAA" w:rsidRDefault="00741837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  <w:r w:rsidRPr="002B4AAA">
        <w:rPr>
          <w:b/>
          <w:bCs/>
          <w:sz w:val="28"/>
          <w:szCs w:val="28"/>
          <w:lang w:eastAsia="uk-UA"/>
        </w:rPr>
        <w:t>ПОЯСНЮВАЛЬНА ЗАПИСКА</w:t>
      </w:r>
      <w:r w:rsidRPr="002B4AAA">
        <w:rPr>
          <w:sz w:val="28"/>
          <w:szCs w:val="28"/>
          <w:lang w:eastAsia="uk-UA"/>
        </w:rPr>
        <w:br/>
      </w:r>
      <w:r w:rsidRPr="002B4AAA">
        <w:rPr>
          <w:b/>
          <w:bCs/>
          <w:sz w:val="28"/>
          <w:szCs w:val="28"/>
          <w:lang w:eastAsia="uk-UA"/>
        </w:rPr>
        <w:t xml:space="preserve">до </w:t>
      </w:r>
      <w:proofErr w:type="spellStart"/>
      <w:r w:rsidRPr="002B4AAA">
        <w:rPr>
          <w:b/>
          <w:bCs/>
          <w:sz w:val="28"/>
          <w:szCs w:val="28"/>
          <w:lang w:eastAsia="uk-UA"/>
        </w:rPr>
        <w:t>проєкту</w:t>
      </w:r>
      <w:proofErr w:type="spellEnd"/>
      <w:r w:rsidRPr="002B4AAA">
        <w:rPr>
          <w:b/>
          <w:bCs/>
          <w:sz w:val="28"/>
          <w:szCs w:val="28"/>
          <w:lang w:eastAsia="uk-UA"/>
        </w:rPr>
        <w:t xml:space="preserve"> рішення Комісії з регулювання азартних ігор та лотерей </w:t>
      </w:r>
      <w:r w:rsidR="009B08A6" w:rsidRPr="002B4AAA">
        <w:rPr>
          <w:b/>
          <w:bCs/>
          <w:sz w:val="28"/>
          <w:szCs w:val="28"/>
          <w:lang w:eastAsia="uk-UA"/>
        </w:rPr>
        <w:t>«Про затвердження Переліку  звітності організаторів азартних ігор  та Порядку подання звітності організаторами азартних ігор»</w:t>
      </w:r>
    </w:p>
    <w:p w:rsidR="00335710" w:rsidRPr="002B4AAA" w:rsidRDefault="00335710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</w:p>
    <w:p w:rsidR="00335710" w:rsidRPr="002B4AAA" w:rsidRDefault="00741837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:rsidR="00335710" w:rsidRPr="002B4AAA" w:rsidRDefault="00741837">
      <w:pPr>
        <w:pStyle w:val="af0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2B4AAA">
        <w:rPr>
          <w:sz w:val="28"/>
          <w:szCs w:val="28"/>
          <w:lang w:eastAsia="uk-UA"/>
        </w:rPr>
        <w:t xml:space="preserve">Метою прийняття </w:t>
      </w:r>
      <w:proofErr w:type="spellStart"/>
      <w:r w:rsidRPr="002B4AAA">
        <w:rPr>
          <w:sz w:val="28"/>
          <w:szCs w:val="28"/>
          <w:lang w:eastAsia="uk-UA"/>
        </w:rPr>
        <w:t>проєкту</w:t>
      </w:r>
      <w:proofErr w:type="spellEnd"/>
      <w:r w:rsidRPr="002B4AAA">
        <w:rPr>
          <w:sz w:val="28"/>
          <w:szCs w:val="28"/>
          <w:lang w:eastAsia="uk-UA"/>
        </w:rPr>
        <w:t xml:space="preserve"> рішення Комісії з регулювання азартних ігор та лотерей </w:t>
      </w:r>
      <w:r w:rsidR="009B08A6" w:rsidRPr="002B4AAA">
        <w:rPr>
          <w:sz w:val="28"/>
          <w:szCs w:val="28"/>
          <w:lang w:eastAsia="uk-UA"/>
        </w:rPr>
        <w:t>«Про затвердження Переліку  звітності організаторів азартних ігор  та Порядку подання звітності організаторами азартних ігор»</w:t>
      </w:r>
      <w:r w:rsidR="00815C74" w:rsidRPr="002B4AAA">
        <w:rPr>
          <w:sz w:val="28"/>
          <w:szCs w:val="28"/>
          <w:lang w:eastAsia="uk-UA"/>
        </w:rPr>
        <w:t xml:space="preserve"> </w:t>
      </w:r>
      <w:r w:rsidRPr="002B4AAA">
        <w:rPr>
          <w:sz w:val="28"/>
          <w:szCs w:val="28"/>
          <w:lang w:eastAsia="uk-UA"/>
        </w:rPr>
        <w:t xml:space="preserve">(далі — </w:t>
      </w:r>
      <w:proofErr w:type="spellStart"/>
      <w:r w:rsidR="009B08A6" w:rsidRPr="002B4AAA">
        <w:rPr>
          <w:sz w:val="28"/>
          <w:szCs w:val="28"/>
          <w:lang w:eastAsia="uk-UA"/>
        </w:rPr>
        <w:t>п</w:t>
      </w:r>
      <w:r w:rsidRPr="002B4AAA">
        <w:rPr>
          <w:sz w:val="28"/>
          <w:szCs w:val="28"/>
          <w:lang w:eastAsia="uk-UA"/>
        </w:rPr>
        <w:t>роєкт</w:t>
      </w:r>
      <w:proofErr w:type="spellEnd"/>
      <w:r w:rsidR="00144469">
        <w:rPr>
          <w:sz w:val="28"/>
          <w:szCs w:val="28"/>
          <w:lang w:eastAsia="uk-UA"/>
        </w:rPr>
        <w:t xml:space="preserve"> рішення</w:t>
      </w:r>
      <w:r w:rsidRPr="002B4AAA">
        <w:rPr>
          <w:sz w:val="28"/>
          <w:szCs w:val="28"/>
          <w:lang w:eastAsia="uk-UA"/>
        </w:rPr>
        <w:t xml:space="preserve">) є </w:t>
      </w:r>
      <w:r w:rsidRPr="002B4AAA">
        <w:rPr>
          <w:color w:val="000000"/>
          <w:sz w:val="28"/>
          <w:szCs w:val="28"/>
          <w:lang w:eastAsia="uk-UA"/>
        </w:rPr>
        <w:t xml:space="preserve">визначення </w:t>
      </w:r>
      <w:r w:rsidR="00815C74" w:rsidRPr="002B4AAA">
        <w:rPr>
          <w:sz w:val="28"/>
          <w:szCs w:val="28"/>
        </w:rPr>
        <w:t>переліку</w:t>
      </w:r>
      <w:r w:rsidR="009B08A6" w:rsidRPr="002B4AAA">
        <w:rPr>
          <w:sz w:val="28"/>
          <w:szCs w:val="28"/>
        </w:rPr>
        <w:t>,</w:t>
      </w:r>
      <w:r w:rsidR="00815C74" w:rsidRPr="002B4AAA">
        <w:rPr>
          <w:sz w:val="28"/>
          <w:szCs w:val="28"/>
        </w:rPr>
        <w:t xml:space="preserve"> форм</w:t>
      </w:r>
      <w:r w:rsidR="009B08A6" w:rsidRPr="002B4AAA">
        <w:rPr>
          <w:sz w:val="28"/>
          <w:szCs w:val="28"/>
        </w:rPr>
        <w:t xml:space="preserve"> та порядку </w:t>
      </w:r>
      <w:r w:rsidR="00815C74" w:rsidRPr="002B4AAA">
        <w:rPr>
          <w:sz w:val="28"/>
          <w:szCs w:val="28"/>
        </w:rPr>
        <w:t xml:space="preserve">подання звітності </w:t>
      </w:r>
      <w:r w:rsidR="00815C74" w:rsidRPr="002B4AAA">
        <w:rPr>
          <w:rStyle w:val="rvts23"/>
          <w:rFonts w:eastAsia="NSimSun"/>
          <w:sz w:val="28"/>
          <w:szCs w:val="28"/>
          <w:highlight w:val="white"/>
        </w:rPr>
        <w:t xml:space="preserve">організаторами азартних </w:t>
      </w:r>
      <w:r w:rsidR="00815C74" w:rsidRPr="002B4AAA">
        <w:rPr>
          <w:rStyle w:val="rvts23"/>
          <w:rFonts w:eastAsia="NSimSun"/>
          <w:sz w:val="28"/>
          <w:szCs w:val="28"/>
        </w:rPr>
        <w:t>ігор</w:t>
      </w:r>
      <w:r w:rsidR="009B08A6" w:rsidRPr="002B4AAA">
        <w:rPr>
          <w:rStyle w:val="rvts23"/>
          <w:rFonts w:eastAsia="NSimSun"/>
          <w:sz w:val="28"/>
          <w:szCs w:val="28"/>
        </w:rPr>
        <w:t>.</w:t>
      </w:r>
    </w:p>
    <w:p w:rsidR="00335710" w:rsidRPr="002B4AAA" w:rsidRDefault="00335710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0" w:name="n1977"/>
      <w:bookmarkStart w:id="1" w:name="n1978"/>
      <w:bookmarkEnd w:id="0"/>
      <w:bookmarkEnd w:id="1"/>
    </w:p>
    <w:p w:rsidR="00335710" w:rsidRPr="002B4AAA" w:rsidRDefault="00741837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:rsidR="00335710" w:rsidRPr="002B4AAA" w:rsidRDefault="00F801C3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  <w:proofErr w:type="spellStart"/>
      <w:r w:rsidRPr="002B4AAA">
        <w:rPr>
          <w:rFonts w:eastAsia="Times New Roman"/>
          <w:sz w:val="28"/>
          <w:szCs w:val="28"/>
        </w:rPr>
        <w:t>Проєкт</w:t>
      </w:r>
      <w:proofErr w:type="spellEnd"/>
      <w:r w:rsidRPr="002B4AAA">
        <w:rPr>
          <w:rFonts w:eastAsia="Times New Roman"/>
          <w:sz w:val="28"/>
          <w:szCs w:val="28"/>
        </w:rPr>
        <w:t xml:space="preserve"> рішення </w:t>
      </w:r>
      <w:r w:rsidRPr="002B4AAA">
        <w:rPr>
          <w:rFonts w:eastAsia="Times New Roman"/>
          <w:sz w:val="28"/>
          <w:szCs w:val="28"/>
          <w:shd w:val="clear" w:color="auto" w:fill="FFFFFF"/>
          <w:lang w:eastAsia="uk-UA"/>
        </w:rPr>
        <w:t>розроблено на виконання</w:t>
      </w:r>
      <w:r w:rsidR="00A84EA2" w:rsidRPr="002B4AAA">
        <w:rPr>
          <w:rStyle w:val="-"/>
          <w:rFonts w:eastAsia="NSimSun"/>
          <w:color w:val="auto"/>
          <w:kern w:val="2"/>
          <w:sz w:val="28"/>
          <w:szCs w:val="28"/>
          <w:highlight w:val="white"/>
          <w:u w:val="none"/>
          <w:shd w:val="clear" w:color="auto" w:fill="FFFFFF"/>
          <w:lang w:eastAsia="zh-CN" w:bidi="hi-IN"/>
        </w:rPr>
        <w:t xml:space="preserve"> </w:t>
      </w:r>
      <w:r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пункту 10 частини першої статті 8 Закону України «Про державне регулювання діяльності щодо організації та проведення азартних ігор»</w:t>
      </w:r>
      <w:r w:rsidR="00125DFD"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(далі </w:t>
      </w:r>
      <w:r w:rsidR="00125DFD" w:rsidRPr="002B4AAA">
        <w:rPr>
          <w:sz w:val="28"/>
          <w:szCs w:val="28"/>
          <w:lang w:eastAsia="uk-UA"/>
        </w:rPr>
        <w:t>— Закон)</w:t>
      </w:r>
      <w:r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та абзацу сімнадцятого підпункту 1 пункту 4 Положення про Комісію з регулювання азартних ігор та лотерей</w:t>
      </w:r>
      <w:r w:rsidRPr="002B4AAA">
        <w:rPr>
          <w:rStyle w:val="rvts9"/>
          <w:rFonts w:eastAsia="Times New Roma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, затвердженого постановою Кабінету Міністрів </w:t>
      </w:r>
      <w:r w:rsidR="00125DFD"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України від 23 вересня 2020 року</w:t>
      </w:r>
      <w:r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№ 891</w:t>
      </w:r>
      <w:r w:rsidR="00125DFD"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(далі </w:t>
      </w:r>
      <w:r w:rsidR="00125DFD" w:rsidRPr="002B4AAA">
        <w:rPr>
          <w:sz w:val="28"/>
          <w:szCs w:val="28"/>
          <w:lang w:eastAsia="uk-UA"/>
        </w:rPr>
        <w:t>— Положення)</w:t>
      </w:r>
      <w:r w:rsidR="004F34B8"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, яким</w:t>
      </w:r>
      <w:r w:rsidR="00125DFD"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и</w:t>
      </w:r>
      <w:r w:rsidR="00A84EA2"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</w:t>
      </w:r>
      <w:r w:rsidR="004F34B8"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визначено, що КРАІЛ відповідно до покладених на неї завдань реалізує державну політику у сфері організації та проведення азартних ігор, зокрема, шляхом</w:t>
      </w:r>
      <w:r w:rsidR="004F34B8" w:rsidRPr="002B4AAA">
        <w:rPr>
          <w:rStyle w:val="rvts9"/>
          <w:rFonts w:eastAsia="NSimSun"/>
          <w:kern w:val="2"/>
          <w:sz w:val="28"/>
          <w:szCs w:val="28"/>
          <w:highlight w:val="white"/>
          <w:lang w:eastAsia="zh-CN" w:bidi="hi-IN"/>
        </w:rPr>
        <w:t xml:space="preserve"> </w:t>
      </w:r>
      <w:r w:rsidR="00A84EA2"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затверд</w:t>
      </w:r>
      <w:r w:rsidR="002261E9"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ження переліку, форм та порядку</w:t>
      </w:r>
      <w:r w:rsidR="00A84EA2"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подання звітності організаторами азартних ігор.</w:t>
      </w:r>
    </w:p>
    <w:p w:rsidR="00A84EA2" w:rsidRPr="002B4AAA" w:rsidRDefault="00A84EA2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</w:p>
    <w:p w:rsidR="00335710" w:rsidRPr="002B4AAA" w:rsidRDefault="00741837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 xml:space="preserve">3. Основні положення </w:t>
      </w:r>
      <w:proofErr w:type="spellStart"/>
      <w:r w:rsidRPr="002B4AAA">
        <w:rPr>
          <w:rFonts w:eastAsia="Times New Roman"/>
          <w:b/>
          <w:bCs/>
          <w:sz w:val="28"/>
          <w:szCs w:val="28"/>
          <w:lang w:eastAsia="uk-UA"/>
        </w:rPr>
        <w:t>проєкту</w:t>
      </w:r>
      <w:proofErr w:type="spellEnd"/>
      <w:r w:rsidRPr="002B4AAA">
        <w:rPr>
          <w:rFonts w:eastAsia="Times New Roman"/>
          <w:b/>
          <w:bCs/>
          <w:sz w:val="28"/>
          <w:szCs w:val="28"/>
          <w:lang w:eastAsia="uk-UA"/>
        </w:rPr>
        <w:t xml:space="preserve"> акта</w:t>
      </w:r>
    </w:p>
    <w:p w:rsidR="00900893" w:rsidRPr="002B4AAA" w:rsidRDefault="00844672" w:rsidP="00844672">
      <w:pPr>
        <w:suppressAutoHyphens/>
        <w:ind w:firstLine="709"/>
        <w:jc w:val="both"/>
        <w:rPr>
          <w:sz w:val="28"/>
          <w:szCs w:val="28"/>
          <w:lang w:eastAsia="ru-RU"/>
        </w:rPr>
      </w:pPr>
      <w:bookmarkStart w:id="2" w:name="n1981"/>
      <w:bookmarkEnd w:id="2"/>
      <w:proofErr w:type="spellStart"/>
      <w:r w:rsidRPr="002B4AAA">
        <w:rPr>
          <w:sz w:val="28"/>
          <w:szCs w:val="28"/>
          <w:lang w:eastAsia="ru-RU"/>
        </w:rPr>
        <w:t>Проєктом</w:t>
      </w:r>
      <w:proofErr w:type="spellEnd"/>
      <w:r w:rsidR="00144469">
        <w:rPr>
          <w:sz w:val="28"/>
          <w:szCs w:val="28"/>
          <w:lang w:eastAsia="ru-RU"/>
        </w:rPr>
        <w:t xml:space="preserve"> рішення</w:t>
      </w:r>
      <w:r w:rsidRPr="002B4AAA">
        <w:rPr>
          <w:sz w:val="28"/>
          <w:szCs w:val="28"/>
          <w:lang w:eastAsia="ru-RU"/>
        </w:rPr>
        <w:t xml:space="preserve"> пропонується затвердити </w:t>
      </w:r>
      <w:r w:rsidR="00F61406" w:rsidRPr="002B4AAA">
        <w:rPr>
          <w:sz w:val="28"/>
          <w:szCs w:val="28"/>
          <w:lang w:eastAsia="ru-RU"/>
        </w:rPr>
        <w:t>П</w:t>
      </w:r>
      <w:r w:rsidR="00F61406" w:rsidRPr="002B4AAA">
        <w:rPr>
          <w:sz w:val="28"/>
          <w:szCs w:val="28"/>
          <w:lang w:eastAsia="uk-UA"/>
        </w:rPr>
        <w:t>ерелік звітності організаторів азартних ігор</w:t>
      </w:r>
      <w:r w:rsidR="00144469">
        <w:rPr>
          <w:sz w:val="28"/>
          <w:szCs w:val="28"/>
          <w:lang w:eastAsia="uk-UA"/>
        </w:rPr>
        <w:t xml:space="preserve"> </w:t>
      </w:r>
      <w:r w:rsidR="00144469" w:rsidRPr="00144469">
        <w:rPr>
          <w:sz w:val="28"/>
          <w:szCs w:val="28"/>
          <w:lang w:eastAsia="uk-UA"/>
        </w:rPr>
        <w:t>(далі — Перелік)</w:t>
      </w:r>
      <w:r w:rsidR="00144469">
        <w:rPr>
          <w:sz w:val="28"/>
          <w:szCs w:val="28"/>
          <w:lang w:eastAsia="uk-UA"/>
        </w:rPr>
        <w:t xml:space="preserve"> </w:t>
      </w:r>
      <w:r w:rsidR="00F61406" w:rsidRPr="002B4AAA">
        <w:rPr>
          <w:sz w:val="28"/>
          <w:szCs w:val="28"/>
          <w:lang w:eastAsia="uk-UA"/>
        </w:rPr>
        <w:t>та Порядок подання звітності організаторами азартних ігор</w:t>
      </w:r>
      <w:r w:rsidR="00144469">
        <w:rPr>
          <w:sz w:val="28"/>
          <w:szCs w:val="28"/>
          <w:lang w:eastAsia="uk-UA"/>
        </w:rPr>
        <w:t xml:space="preserve"> (далі </w:t>
      </w:r>
      <w:r w:rsidR="00144469" w:rsidRPr="002B4AAA">
        <w:rPr>
          <w:sz w:val="28"/>
          <w:szCs w:val="28"/>
          <w:lang w:eastAsia="uk-UA"/>
        </w:rPr>
        <w:t>—</w:t>
      </w:r>
      <w:r w:rsidR="00144469">
        <w:rPr>
          <w:sz w:val="28"/>
          <w:szCs w:val="28"/>
          <w:lang w:eastAsia="uk-UA"/>
        </w:rPr>
        <w:t xml:space="preserve"> Порядок)</w:t>
      </w:r>
      <w:r w:rsidRPr="002B4AAA">
        <w:rPr>
          <w:sz w:val="28"/>
          <w:szCs w:val="28"/>
          <w:lang w:eastAsia="ru-RU"/>
        </w:rPr>
        <w:t>.</w:t>
      </w:r>
    </w:p>
    <w:p w:rsidR="00CB5C8E" w:rsidRPr="002B4AAA" w:rsidRDefault="00CB5C8E" w:rsidP="00844672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2B4AAA">
        <w:rPr>
          <w:sz w:val="28"/>
          <w:szCs w:val="28"/>
          <w:lang w:eastAsia="ru-RU"/>
        </w:rPr>
        <w:t>До</w:t>
      </w:r>
      <w:r w:rsidR="00144469" w:rsidRPr="00144469">
        <w:rPr>
          <w:sz w:val="28"/>
          <w:szCs w:val="28"/>
          <w:lang w:eastAsia="ru-RU"/>
        </w:rPr>
        <w:t xml:space="preserve"> </w:t>
      </w:r>
      <w:proofErr w:type="spellStart"/>
      <w:r w:rsidR="00144469">
        <w:rPr>
          <w:sz w:val="28"/>
          <w:szCs w:val="28"/>
          <w:lang w:eastAsia="ru-RU"/>
        </w:rPr>
        <w:t>проєкту</w:t>
      </w:r>
      <w:proofErr w:type="spellEnd"/>
      <w:r w:rsidRPr="002B4AAA">
        <w:rPr>
          <w:sz w:val="28"/>
          <w:szCs w:val="28"/>
          <w:lang w:eastAsia="ru-RU"/>
        </w:rPr>
        <w:t xml:space="preserve"> </w:t>
      </w:r>
      <w:r w:rsidR="002B4AAA" w:rsidRPr="002B4AAA">
        <w:rPr>
          <w:sz w:val="28"/>
          <w:szCs w:val="28"/>
          <w:lang w:eastAsia="ru-RU"/>
        </w:rPr>
        <w:t>П</w:t>
      </w:r>
      <w:r w:rsidRPr="002B4AAA">
        <w:rPr>
          <w:sz w:val="28"/>
          <w:szCs w:val="28"/>
          <w:lang w:eastAsia="ru-RU"/>
        </w:rPr>
        <w:t xml:space="preserve">ереліку включено </w:t>
      </w:r>
      <w:r w:rsidRPr="002B4AAA">
        <w:rPr>
          <w:rStyle w:val="rvts23"/>
          <w:rFonts w:eastAsia="NSimSun"/>
          <w:sz w:val="28"/>
          <w:szCs w:val="28"/>
          <w:highlight w:val="white"/>
        </w:rPr>
        <w:t xml:space="preserve">фінансову звітність, </w:t>
      </w:r>
      <w:r w:rsidRPr="002B4AAA">
        <w:rPr>
          <w:sz w:val="28"/>
          <w:szCs w:val="28"/>
          <w:shd w:val="clear" w:color="auto" w:fill="FFFFFF"/>
        </w:rPr>
        <w:t>звіт організатора азартних ігор та звіт про вжиті заходи для профілактики та боротьби</w:t>
      </w:r>
      <w:r w:rsidRPr="002B4AAA">
        <w:rPr>
          <w:sz w:val="28"/>
          <w:szCs w:val="28"/>
        </w:rPr>
        <w:t xml:space="preserve"> із ігровою залежністю (</w:t>
      </w:r>
      <w:proofErr w:type="spellStart"/>
      <w:r w:rsidRPr="002B4AAA">
        <w:rPr>
          <w:sz w:val="28"/>
          <w:szCs w:val="28"/>
        </w:rPr>
        <w:t>лудоманією</w:t>
      </w:r>
      <w:proofErr w:type="spellEnd"/>
      <w:r w:rsidRPr="002B4AAA">
        <w:rPr>
          <w:sz w:val="28"/>
          <w:szCs w:val="28"/>
        </w:rPr>
        <w:t>).</w:t>
      </w:r>
    </w:p>
    <w:p w:rsidR="00394EF2" w:rsidRPr="002B4AAA" w:rsidRDefault="00352A50" w:rsidP="00394EF2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П</w:t>
      </w:r>
      <w:r w:rsidR="00CB5C8E" w:rsidRPr="002B4AAA">
        <w:rPr>
          <w:sz w:val="28"/>
          <w:szCs w:val="28"/>
          <w:lang w:eastAsia="ru-RU"/>
        </w:rPr>
        <w:t>роєктом</w:t>
      </w:r>
      <w:proofErr w:type="spellEnd"/>
      <w:r w:rsidR="00144469">
        <w:rPr>
          <w:sz w:val="28"/>
          <w:szCs w:val="28"/>
          <w:lang w:eastAsia="ru-RU"/>
        </w:rPr>
        <w:t xml:space="preserve"> Порядку</w:t>
      </w:r>
      <w:r w:rsidR="00CB5C8E" w:rsidRPr="002B4AAA">
        <w:rPr>
          <w:sz w:val="28"/>
          <w:szCs w:val="28"/>
          <w:lang w:eastAsia="ru-RU"/>
        </w:rPr>
        <w:t xml:space="preserve"> визначено, що </w:t>
      </w:r>
      <w:r w:rsidR="00CB5C8E" w:rsidRPr="002B4AAA">
        <w:rPr>
          <w:sz w:val="28"/>
          <w:szCs w:val="28"/>
        </w:rPr>
        <w:t>звіт організатора азартних ігор – інформація, що містить основні показники діяльності з організації та проведення азартних ігор, що подається організатором азартних ігор в установленій формі за кожним окремим видом діяльності у сфері організації та проведення азартних ігор.</w:t>
      </w:r>
      <w:r w:rsidR="00394EF2" w:rsidRPr="002B4AAA">
        <w:rPr>
          <w:sz w:val="28"/>
          <w:szCs w:val="28"/>
        </w:rPr>
        <w:t xml:space="preserve"> </w:t>
      </w:r>
    </w:p>
    <w:p w:rsidR="00394EF2" w:rsidRPr="002B4AAA" w:rsidRDefault="00352A50" w:rsidP="00394EF2">
      <w:pPr>
        <w:suppressAutoHyphens/>
        <w:ind w:firstLine="709"/>
        <w:jc w:val="both"/>
        <w:rPr>
          <w:sz w:val="28"/>
          <w:szCs w:val="28"/>
        </w:rPr>
      </w:pPr>
      <w:r>
        <w:rPr>
          <w:rStyle w:val="rvts23"/>
          <w:rFonts w:eastAsia="NSimSun"/>
          <w:sz w:val="28"/>
          <w:szCs w:val="28"/>
        </w:rPr>
        <w:t>Зокрема п</w:t>
      </w:r>
      <w:r w:rsidR="00125DFD" w:rsidRPr="002B4AAA">
        <w:rPr>
          <w:rStyle w:val="rvts23"/>
          <w:rFonts w:eastAsia="NSimSun"/>
          <w:sz w:val="28"/>
          <w:szCs w:val="28"/>
        </w:rPr>
        <w:t>роєктом</w:t>
      </w:r>
      <w:r w:rsidR="00144469" w:rsidRPr="00144469">
        <w:rPr>
          <w:sz w:val="28"/>
          <w:szCs w:val="28"/>
          <w:lang w:eastAsia="uk-UA"/>
        </w:rPr>
        <w:t xml:space="preserve"> </w:t>
      </w:r>
      <w:r w:rsidR="00144469">
        <w:rPr>
          <w:sz w:val="28"/>
          <w:szCs w:val="28"/>
          <w:lang w:eastAsia="uk-UA"/>
        </w:rPr>
        <w:t>Порядку</w:t>
      </w:r>
      <w:r w:rsidR="00144469" w:rsidRPr="002B4AAA">
        <w:rPr>
          <w:sz w:val="28"/>
          <w:szCs w:val="28"/>
          <w:lang w:eastAsia="uk-UA"/>
        </w:rPr>
        <w:t xml:space="preserve"> </w:t>
      </w:r>
      <w:r w:rsidR="00125DFD" w:rsidRPr="002B4AAA">
        <w:rPr>
          <w:rStyle w:val="rvts23"/>
          <w:rFonts w:eastAsia="NSimSun"/>
          <w:sz w:val="28"/>
          <w:szCs w:val="28"/>
        </w:rPr>
        <w:t>передбачено, що з</w:t>
      </w:r>
      <w:r w:rsidR="00394EF2" w:rsidRPr="002B4AAA">
        <w:rPr>
          <w:rStyle w:val="rvts23"/>
          <w:rFonts w:eastAsia="NSimSun"/>
          <w:sz w:val="28"/>
          <w:szCs w:val="28"/>
        </w:rPr>
        <w:t>віт організатора азартних ігор складається за установленими відповідно до Переліку звітності організатора азартних ігор формами за кожним окремим видом діяльності у сфері організації та проведення азартних ігор, визначеним частиною першою статті 2 Закону України «</w:t>
      </w:r>
      <w:r w:rsidR="00394EF2" w:rsidRPr="002B4AAA">
        <w:rPr>
          <w:sz w:val="28"/>
          <w:szCs w:val="28"/>
        </w:rPr>
        <w:t>Про державне регулювання діяльності щодо організації та проведення азартних ігор».</w:t>
      </w:r>
    </w:p>
    <w:p w:rsidR="00107A4B" w:rsidRPr="002B4AAA" w:rsidRDefault="00144469" w:rsidP="00107A4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Style w:val="rvts23"/>
          <w:rFonts w:eastAsia="NSimSun"/>
          <w:sz w:val="28"/>
          <w:szCs w:val="28"/>
        </w:rPr>
      </w:pPr>
      <w:r>
        <w:rPr>
          <w:sz w:val="28"/>
          <w:szCs w:val="28"/>
          <w:lang w:eastAsia="uk-UA"/>
        </w:rPr>
        <w:t>Т</w:t>
      </w:r>
      <w:r w:rsidR="00394EF2" w:rsidRPr="002B4AAA">
        <w:rPr>
          <w:sz w:val="28"/>
          <w:szCs w:val="28"/>
          <w:lang w:eastAsia="uk-UA"/>
        </w:rPr>
        <w:t>акож</w:t>
      </w:r>
      <w:r w:rsidR="00A72136" w:rsidRPr="002B4AAA">
        <w:rPr>
          <w:rStyle w:val="rvts23"/>
          <w:rFonts w:eastAsia="NSimSun"/>
          <w:sz w:val="28"/>
          <w:szCs w:val="28"/>
        </w:rPr>
        <w:t xml:space="preserve"> </w:t>
      </w:r>
      <w:r>
        <w:rPr>
          <w:rStyle w:val="rvts23"/>
          <w:rFonts w:eastAsia="NSimSun"/>
          <w:sz w:val="28"/>
          <w:szCs w:val="28"/>
        </w:rPr>
        <w:t xml:space="preserve">проєктом Порядку  </w:t>
      </w:r>
      <w:r w:rsidR="00A72136" w:rsidRPr="002B4AAA">
        <w:rPr>
          <w:rStyle w:val="rvts23"/>
          <w:rFonts w:eastAsia="NSimSun"/>
          <w:sz w:val="28"/>
          <w:szCs w:val="28"/>
        </w:rPr>
        <w:t>визначається, що ф</w:t>
      </w:r>
      <w:r w:rsidR="00107A4B" w:rsidRPr="002B4AAA">
        <w:rPr>
          <w:rStyle w:val="rvts23"/>
          <w:rFonts w:eastAsia="NSimSun"/>
          <w:sz w:val="28"/>
          <w:szCs w:val="28"/>
        </w:rPr>
        <w:t>інансова звітність</w:t>
      </w:r>
      <w:r w:rsidR="00A72136" w:rsidRPr="002B4AAA">
        <w:rPr>
          <w:rStyle w:val="rvts23"/>
          <w:rFonts w:eastAsia="NSimSun"/>
          <w:sz w:val="28"/>
          <w:szCs w:val="28"/>
        </w:rPr>
        <w:t xml:space="preserve"> </w:t>
      </w:r>
      <w:r w:rsidR="00107A4B" w:rsidRPr="002B4AAA">
        <w:rPr>
          <w:rStyle w:val="rvts23"/>
          <w:rFonts w:eastAsia="NSimSun"/>
          <w:sz w:val="28"/>
          <w:szCs w:val="28"/>
        </w:rPr>
        <w:t xml:space="preserve">подається організатором азартних ігор до КРАІЛ у складі звіту про фінансовий стан (балансу) і звіту про прибутки та збитки та інший сукупний дохід (звіту про </w:t>
      </w:r>
      <w:r w:rsidR="00107A4B" w:rsidRPr="002B4AAA">
        <w:rPr>
          <w:rStyle w:val="rvts23"/>
          <w:rFonts w:eastAsia="NSimSun"/>
          <w:sz w:val="28"/>
          <w:szCs w:val="28"/>
        </w:rPr>
        <w:lastRenderedPageBreak/>
        <w:t xml:space="preserve">фінансові результати) за формами  установленими центральним органом виконавчої влади, що забезпечує формування та реалізує державну політику у сфері бухгалтерського обліку. </w:t>
      </w:r>
    </w:p>
    <w:p w:rsidR="00900893" w:rsidRPr="002B4AAA" w:rsidRDefault="00900893" w:rsidP="00844672">
      <w:pPr>
        <w:suppressAutoHyphens/>
        <w:ind w:firstLine="709"/>
        <w:jc w:val="both"/>
        <w:rPr>
          <w:sz w:val="28"/>
          <w:szCs w:val="28"/>
          <w:lang w:eastAsia="ru-RU"/>
        </w:rPr>
      </w:pPr>
      <w:bookmarkStart w:id="3" w:name="_GoBack"/>
      <w:bookmarkEnd w:id="3"/>
    </w:p>
    <w:p w:rsidR="00335710" w:rsidRPr="002B4AAA" w:rsidRDefault="00741837">
      <w:pPr>
        <w:pStyle w:val="HTML"/>
        <w:suppressAutoHyphens/>
        <w:spacing w:after="0" w:line="20" w:lineRule="atLeast"/>
        <w:ind w:firstLine="737"/>
        <w:rPr>
          <w:rFonts w:ascii="Times New Roman" w:hAnsi="Times New Roman"/>
          <w:sz w:val="28"/>
          <w:szCs w:val="28"/>
        </w:rPr>
      </w:pPr>
      <w:r w:rsidRPr="002B4A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:rsidR="00335710" w:rsidRPr="002B4AAA" w:rsidRDefault="00741837">
      <w:pPr>
        <w:suppressAutoHyphens/>
        <w:spacing w:line="20" w:lineRule="atLeast"/>
        <w:ind w:firstLine="709"/>
        <w:jc w:val="both"/>
        <w:rPr>
          <w:sz w:val="28"/>
          <w:szCs w:val="28"/>
          <w:lang w:eastAsia="uk-UA"/>
        </w:rPr>
      </w:pPr>
      <w:proofErr w:type="spellStart"/>
      <w:r w:rsidRPr="002B4AAA">
        <w:rPr>
          <w:rFonts w:eastAsia="Times New Roman"/>
          <w:sz w:val="28"/>
          <w:szCs w:val="28"/>
          <w:highlight w:val="white"/>
          <w:lang w:eastAsia="ru-RU"/>
        </w:rPr>
        <w:t>Проєкт</w:t>
      </w:r>
      <w:proofErr w:type="spellEnd"/>
      <w:r w:rsidRPr="002B4AAA">
        <w:rPr>
          <w:rFonts w:eastAsia="Times New Roman"/>
          <w:sz w:val="28"/>
          <w:szCs w:val="28"/>
          <w:highlight w:val="white"/>
          <w:lang w:eastAsia="ru-RU"/>
        </w:rPr>
        <w:t xml:space="preserve"> </w:t>
      </w:r>
      <w:r w:rsidR="00144469">
        <w:rPr>
          <w:rFonts w:eastAsia="Times New Roman"/>
          <w:sz w:val="28"/>
          <w:szCs w:val="28"/>
          <w:highlight w:val="white"/>
          <w:lang w:eastAsia="ru-RU"/>
        </w:rPr>
        <w:t xml:space="preserve">рішення </w:t>
      </w:r>
      <w:r w:rsidRPr="002B4AAA">
        <w:rPr>
          <w:rFonts w:eastAsia="Times New Roman"/>
          <w:sz w:val="28"/>
          <w:szCs w:val="28"/>
          <w:highlight w:val="white"/>
          <w:lang w:eastAsia="ru-RU"/>
        </w:rPr>
        <w:t>розроблений на підставі:</w:t>
      </w:r>
    </w:p>
    <w:p w:rsidR="00335710" w:rsidRPr="002B4AAA" w:rsidRDefault="00741837">
      <w:pPr>
        <w:pStyle w:val="af0"/>
        <w:suppressAutoHyphens/>
        <w:ind w:left="0" w:firstLine="709"/>
        <w:jc w:val="both"/>
        <w:rPr>
          <w:spacing w:val="-6"/>
          <w:sz w:val="28"/>
          <w:szCs w:val="28"/>
          <w:lang w:eastAsia="uk-UA"/>
        </w:rPr>
      </w:pPr>
      <w:r w:rsidRPr="002B4AAA">
        <w:rPr>
          <w:sz w:val="28"/>
          <w:szCs w:val="28"/>
          <w:lang w:eastAsia="uk-UA"/>
        </w:rPr>
        <w:t xml:space="preserve">Закону України </w:t>
      </w:r>
      <w:r w:rsidRPr="002B4AAA">
        <w:rPr>
          <w:spacing w:val="-6"/>
          <w:sz w:val="28"/>
          <w:szCs w:val="28"/>
          <w:lang w:eastAsia="uk-UA"/>
        </w:rPr>
        <w:t>«</w:t>
      </w:r>
      <w:r w:rsidRPr="002B4AAA">
        <w:rPr>
          <w:sz w:val="28"/>
          <w:szCs w:val="28"/>
          <w:lang w:eastAsia="uk-UA"/>
        </w:rPr>
        <w:t>Про державне регулювання діяльності щодо організації та проведення азартних ігор</w:t>
      </w:r>
      <w:r w:rsidRPr="002B4AAA">
        <w:rPr>
          <w:spacing w:val="-6"/>
          <w:sz w:val="28"/>
          <w:szCs w:val="28"/>
          <w:lang w:eastAsia="uk-UA"/>
        </w:rPr>
        <w:t>»;</w:t>
      </w:r>
    </w:p>
    <w:p w:rsidR="003D3CC5" w:rsidRPr="002B4AAA" w:rsidRDefault="003D3CC5">
      <w:pPr>
        <w:pStyle w:val="af0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2B4AAA">
        <w:rPr>
          <w:sz w:val="28"/>
          <w:szCs w:val="28"/>
          <w:lang w:eastAsia="uk-UA"/>
        </w:rPr>
        <w:t xml:space="preserve">Закону України «Про бухгалтерський облік та фінансову звітність в Україні»; </w:t>
      </w:r>
    </w:p>
    <w:p w:rsidR="00394EF2" w:rsidRPr="002B4AAA" w:rsidRDefault="00394EF2" w:rsidP="00394EF2">
      <w:pPr>
        <w:pStyle w:val="af0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2B4AAA">
        <w:rPr>
          <w:sz w:val="28"/>
          <w:szCs w:val="28"/>
          <w:lang w:eastAsia="uk-UA"/>
        </w:rPr>
        <w:t>Порядку подання фінансової звітності, затвердженого постановою Кабінету Міністрів України від 28 лютого 2000 року № 419;</w:t>
      </w:r>
    </w:p>
    <w:p w:rsidR="003D3CC5" w:rsidRPr="002B4AAA" w:rsidRDefault="003D3CC5">
      <w:pPr>
        <w:pStyle w:val="af0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2B4AAA">
        <w:rPr>
          <w:sz w:val="28"/>
          <w:szCs w:val="28"/>
          <w:lang w:eastAsia="uk-UA"/>
        </w:rPr>
        <w:t>Положення про Комісію з регулювання азартних ігор та лотерей, затвердженого постановою Кабінету Міністрів України від 23 вересня 2020 року № 891</w:t>
      </w:r>
      <w:r w:rsidR="00394EF2" w:rsidRPr="002B4AAA">
        <w:rPr>
          <w:sz w:val="28"/>
          <w:szCs w:val="28"/>
          <w:lang w:eastAsia="uk-UA"/>
        </w:rPr>
        <w:t>.</w:t>
      </w:r>
    </w:p>
    <w:p w:rsidR="00335710" w:rsidRPr="002B4AAA" w:rsidRDefault="00335710">
      <w:pPr>
        <w:suppressAutoHyphens/>
        <w:ind w:firstLine="709"/>
        <w:jc w:val="both"/>
        <w:rPr>
          <w:sz w:val="28"/>
          <w:szCs w:val="28"/>
          <w:lang w:eastAsia="uk-UA"/>
        </w:rPr>
      </w:pPr>
    </w:p>
    <w:p w:rsidR="00335710" w:rsidRPr="002B4AAA" w:rsidRDefault="00741837">
      <w:pPr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b/>
          <w:sz w:val="28"/>
          <w:szCs w:val="28"/>
        </w:rPr>
        <w:t>5. Фінансово-економічне обґрунтування</w:t>
      </w:r>
    </w:p>
    <w:p w:rsidR="00335710" w:rsidRPr="002B4AAA" w:rsidRDefault="00394EF2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Реалізація </w:t>
      </w:r>
      <w:proofErr w:type="spellStart"/>
      <w:r w:rsidRPr="002B4AAA">
        <w:rPr>
          <w:rFonts w:eastAsia="Times New Roman"/>
          <w:sz w:val="28"/>
          <w:szCs w:val="28"/>
        </w:rPr>
        <w:t>п</w:t>
      </w:r>
      <w:r w:rsidR="00741837" w:rsidRPr="002B4AAA">
        <w:rPr>
          <w:rFonts w:eastAsia="Times New Roman"/>
          <w:sz w:val="28"/>
          <w:szCs w:val="28"/>
        </w:rPr>
        <w:t>роєкту</w:t>
      </w:r>
      <w:proofErr w:type="spellEnd"/>
      <w:r w:rsidR="00144469">
        <w:rPr>
          <w:rFonts w:eastAsia="Times New Roman"/>
          <w:sz w:val="28"/>
          <w:szCs w:val="28"/>
        </w:rPr>
        <w:t xml:space="preserve"> рішення </w:t>
      </w:r>
      <w:r w:rsidR="00741837" w:rsidRPr="002B4AAA">
        <w:rPr>
          <w:rFonts w:eastAsia="Times New Roman"/>
          <w:sz w:val="28"/>
          <w:szCs w:val="28"/>
        </w:rPr>
        <w:t xml:space="preserve"> не матиме впливу на надходження та витрати державного </w:t>
      </w:r>
      <w:r w:rsidR="00741837" w:rsidRPr="002B4AAA">
        <w:rPr>
          <w:rFonts w:eastAsia="Times New Roman"/>
          <w:color w:val="000000"/>
          <w:sz w:val="28"/>
          <w:szCs w:val="28"/>
        </w:rPr>
        <w:t>та/або місцевих бюджетів</w:t>
      </w:r>
      <w:r w:rsidR="00741837" w:rsidRPr="002B4AAA">
        <w:rPr>
          <w:rFonts w:eastAsia="Times New Roman"/>
          <w:sz w:val="28"/>
          <w:szCs w:val="28"/>
        </w:rPr>
        <w:t>.</w:t>
      </w:r>
    </w:p>
    <w:p w:rsidR="00335710" w:rsidRPr="002B4AAA" w:rsidRDefault="0074183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sz w:val="28"/>
          <w:szCs w:val="28"/>
          <w:lang w:eastAsia="ru-RU"/>
        </w:rPr>
        <w:t xml:space="preserve">Реалізація </w:t>
      </w:r>
      <w:proofErr w:type="spellStart"/>
      <w:r w:rsidR="00394EF2" w:rsidRPr="002B4AAA">
        <w:rPr>
          <w:rFonts w:eastAsia="Times New Roman"/>
          <w:sz w:val="28"/>
          <w:szCs w:val="28"/>
          <w:lang w:eastAsia="ru-RU"/>
        </w:rPr>
        <w:t>п</w:t>
      </w:r>
      <w:r w:rsidRPr="002B4AAA">
        <w:rPr>
          <w:rFonts w:eastAsia="Times New Roman"/>
          <w:sz w:val="28"/>
          <w:szCs w:val="28"/>
          <w:lang w:eastAsia="ru-RU"/>
        </w:rPr>
        <w:t>роєкту</w:t>
      </w:r>
      <w:proofErr w:type="spellEnd"/>
      <w:r w:rsidR="00144469" w:rsidRPr="00144469">
        <w:rPr>
          <w:rFonts w:eastAsia="Times New Roman"/>
          <w:sz w:val="28"/>
          <w:szCs w:val="28"/>
        </w:rPr>
        <w:t xml:space="preserve"> </w:t>
      </w:r>
      <w:r w:rsidR="00144469">
        <w:rPr>
          <w:rFonts w:eastAsia="Times New Roman"/>
          <w:sz w:val="28"/>
          <w:szCs w:val="28"/>
        </w:rPr>
        <w:t>рішення</w:t>
      </w:r>
      <w:r w:rsidRPr="002B4AAA">
        <w:rPr>
          <w:rFonts w:eastAsia="Times New Roman"/>
          <w:sz w:val="28"/>
          <w:szCs w:val="28"/>
          <w:lang w:eastAsia="ru-RU"/>
        </w:rPr>
        <w:t xml:space="preserve"> не потребує фінансування з державного чи місцевих бюджетів.</w:t>
      </w:r>
    </w:p>
    <w:p w:rsidR="00335710" w:rsidRPr="002B4AAA" w:rsidRDefault="00335710">
      <w:pPr>
        <w:suppressAutoHyphens/>
        <w:jc w:val="both"/>
        <w:rPr>
          <w:sz w:val="28"/>
          <w:szCs w:val="28"/>
          <w:lang w:eastAsia="uk-UA"/>
        </w:rPr>
      </w:pPr>
    </w:p>
    <w:p w:rsidR="00335710" w:rsidRPr="002B4AAA" w:rsidRDefault="00741837">
      <w:pPr>
        <w:tabs>
          <w:tab w:val="left" w:pos="0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:rsidR="002B4AAA" w:rsidRPr="002B4AAA" w:rsidRDefault="003D3CC5" w:rsidP="002B4AAA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 w:rsidRPr="002B4AAA">
        <w:rPr>
          <w:sz w:val="28"/>
          <w:szCs w:val="28"/>
        </w:rPr>
        <w:t>Проєкт</w:t>
      </w:r>
      <w:proofErr w:type="spellEnd"/>
      <w:r w:rsidR="00144469">
        <w:rPr>
          <w:sz w:val="28"/>
          <w:szCs w:val="28"/>
        </w:rPr>
        <w:t xml:space="preserve"> рішення</w:t>
      </w:r>
      <w:r w:rsidRPr="002B4AAA">
        <w:rPr>
          <w:sz w:val="28"/>
          <w:szCs w:val="28"/>
        </w:rPr>
        <w:t xml:space="preserve"> потребує </w:t>
      </w:r>
      <w:r w:rsidR="00363FAD" w:rsidRPr="002B4AAA">
        <w:rPr>
          <w:sz w:val="28"/>
          <w:szCs w:val="28"/>
        </w:rPr>
        <w:t xml:space="preserve">направлення до </w:t>
      </w:r>
      <w:r w:rsidRPr="002B4AAA">
        <w:rPr>
          <w:sz w:val="28"/>
          <w:szCs w:val="28"/>
        </w:rPr>
        <w:t>Державно</w:t>
      </w:r>
      <w:r w:rsidR="00363FAD" w:rsidRPr="002B4AAA">
        <w:rPr>
          <w:sz w:val="28"/>
          <w:szCs w:val="28"/>
        </w:rPr>
        <w:t>ї</w:t>
      </w:r>
      <w:r w:rsidR="00394EF2" w:rsidRPr="002B4AAA">
        <w:rPr>
          <w:sz w:val="28"/>
          <w:szCs w:val="28"/>
        </w:rPr>
        <w:t xml:space="preserve"> регуляторно</w:t>
      </w:r>
      <w:r w:rsidR="00363FAD" w:rsidRPr="002B4AAA">
        <w:rPr>
          <w:sz w:val="28"/>
          <w:szCs w:val="28"/>
        </w:rPr>
        <w:t>ї</w:t>
      </w:r>
      <w:r w:rsidR="00394EF2" w:rsidRPr="002B4AAA">
        <w:rPr>
          <w:sz w:val="28"/>
          <w:szCs w:val="28"/>
        </w:rPr>
        <w:t xml:space="preserve"> служб</w:t>
      </w:r>
      <w:r w:rsidR="00363FAD" w:rsidRPr="002B4AAA">
        <w:rPr>
          <w:sz w:val="28"/>
          <w:szCs w:val="28"/>
        </w:rPr>
        <w:t xml:space="preserve">и України. </w:t>
      </w:r>
    </w:p>
    <w:p w:rsidR="002B4AAA" w:rsidRPr="002B4AAA" w:rsidRDefault="002B4AAA" w:rsidP="002B4AAA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 w:rsidRPr="002B4AAA">
        <w:rPr>
          <w:sz w:val="28"/>
          <w:szCs w:val="28"/>
        </w:rPr>
        <w:t>Проєкт</w:t>
      </w:r>
      <w:proofErr w:type="spellEnd"/>
      <w:r w:rsidR="00144469">
        <w:rPr>
          <w:sz w:val="28"/>
          <w:szCs w:val="28"/>
        </w:rPr>
        <w:t xml:space="preserve"> рішення</w:t>
      </w:r>
      <w:r w:rsidRPr="002B4AAA">
        <w:rPr>
          <w:sz w:val="28"/>
          <w:szCs w:val="28"/>
        </w:rPr>
        <w:t xml:space="preserve"> потребує державної реєстрації в Міністерстві юстиції України.</w:t>
      </w:r>
    </w:p>
    <w:p w:rsidR="003D3CC5" w:rsidRPr="002B4AAA" w:rsidRDefault="003D3CC5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 w:rsidRPr="002B4AAA">
        <w:rPr>
          <w:sz w:val="28"/>
          <w:szCs w:val="28"/>
        </w:rPr>
        <w:t>Проєкт</w:t>
      </w:r>
      <w:proofErr w:type="spellEnd"/>
      <w:r w:rsidR="00144469">
        <w:rPr>
          <w:sz w:val="28"/>
          <w:szCs w:val="28"/>
        </w:rPr>
        <w:t xml:space="preserve"> рішення</w:t>
      </w:r>
      <w:r w:rsidRPr="002B4AAA">
        <w:rPr>
          <w:sz w:val="28"/>
          <w:szCs w:val="28"/>
        </w:rPr>
        <w:t xml:space="preserve"> не потребує проведення цифрової експертизи та отримання висновку Міністерства цифрової трансформації України про проведення цифрової експертизи у зв’язку з тим, що проєкт не стосується питань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 </w:t>
      </w:r>
    </w:p>
    <w:p w:rsidR="00335710" w:rsidRPr="002B4AAA" w:rsidRDefault="00741837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B4AAA">
        <w:rPr>
          <w:sz w:val="28"/>
          <w:szCs w:val="28"/>
        </w:rPr>
        <w:t>Проєкт</w:t>
      </w:r>
      <w:proofErr w:type="spellEnd"/>
      <w:r w:rsidR="00144469">
        <w:rPr>
          <w:sz w:val="28"/>
          <w:szCs w:val="28"/>
        </w:rPr>
        <w:t xml:space="preserve"> рішення</w:t>
      </w:r>
      <w:r w:rsidRPr="002B4AAA">
        <w:rPr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</w:t>
      </w:r>
      <w:r w:rsidRPr="002B4AAA">
        <w:rPr>
          <w:color w:val="000000"/>
          <w:sz w:val="28"/>
          <w:szCs w:val="28"/>
        </w:rPr>
        <w:t xml:space="preserve">прав осіб з інвалідністю, функціонування і застосування української мови як державної. </w:t>
      </w:r>
    </w:p>
    <w:p w:rsidR="002B4AAA" w:rsidRPr="002B4AAA" w:rsidRDefault="002B4AAA" w:rsidP="002B4AAA">
      <w:pPr>
        <w:ind w:firstLine="709"/>
        <w:jc w:val="both"/>
        <w:rPr>
          <w:sz w:val="28"/>
          <w:szCs w:val="28"/>
        </w:rPr>
      </w:pPr>
      <w:proofErr w:type="spellStart"/>
      <w:r w:rsidRPr="002B4AAA">
        <w:rPr>
          <w:sz w:val="28"/>
          <w:szCs w:val="28"/>
        </w:rPr>
        <w:t>Проєкт</w:t>
      </w:r>
      <w:proofErr w:type="spellEnd"/>
      <w:r w:rsidR="00144469">
        <w:rPr>
          <w:sz w:val="28"/>
          <w:szCs w:val="28"/>
        </w:rPr>
        <w:t xml:space="preserve"> </w:t>
      </w:r>
      <w:r w:rsidR="00144469">
        <w:rPr>
          <w:rFonts w:eastAsia="Times New Roman"/>
          <w:sz w:val="28"/>
          <w:szCs w:val="28"/>
        </w:rPr>
        <w:t>рішення</w:t>
      </w:r>
      <w:r w:rsidRPr="002B4AAA">
        <w:rPr>
          <w:sz w:val="28"/>
          <w:szCs w:val="28"/>
        </w:rPr>
        <w:t xml:space="preserve"> не стосується сфери наукової та науково-технічної діяльності та  не потребує розгляду Науковим комітетом Національної ради з питань розвитку науки і технологій.</w:t>
      </w:r>
    </w:p>
    <w:p w:rsidR="00335710" w:rsidRPr="002B4AAA" w:rsidRDefault="00741837">
      <w:pPr>
        <w:pStyle w:val="rvps2"/>
        <w:shd w:val="clear" w:color="auto" w:fill="FFFFFF"/>
        <w:tabs>
          <w:tab w:val="left" w:pos="0"/>
        </w:tabs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 w:rsidRPr="002B4AAA">
        <w:rPr>
          <w:sz w:val="28"/>
          <w:szCs w:val="28"/>
        </w:rPr>
        <w:t>Проєкт</w:t>
      </w:r>
      <w:proofErr w:type="spellEnd"/>
      <w:r w:rsidR="00144469">
        <w:rPr>
          <w:sz w:val="28"/>
          <w:szCs w:val="28"/>
        </w:rPr>
        <w:t xml:space="preserve"> рішення</w:t>
      </w:r>
      <w:r w:rsidR="003D3CC5" w:rsidRPr="002B4AAA">
        <w:rPr>
          <w:sz w:val="28"/>
          <w:szCs w:val="28"/>
        </w:rPr>
        <w:t xml:space="preserve"> </w:t>
      </w:r>
      <w:r w:rsidRPr="002B4AAA">
        <w:rPr>
          <w:sz w:val="28"/>
          <w:szCs w:val="28"/>
        </w:rPr>
        <w:t xml:space="preserve">оприлюднено  на офіційному </w:t>
      </w:r>
      <w:proofErr w:type="spellStart"/>
      <w:r w:rsidRPr="002B4AAA">
        <w:rPr>
          <w:sz w:val="28"/>
          <w:szCs w:val="28"/>
        </w:rPr>
        <w:t>вебсайті</w:t>
      </w:r>
      <w:proofErr w:type="spellEnd"/>
      <w:r w:rsidRPr="002B4AAA">
        <w:rPr>
          <w:sz w:val="28"/>
          <w:szCs w:val="28"/>
        </w:rPr>
        <w:t xml:space="preserve"> </w:t>
      </w:r>
      <w:r w:rsidRPr="002B4AAA">
        <w:rPr>
          <w:color w:val="000000"/>
          <w:sz w:val="28"/>
          <w:szCs w:val="28"/>
        </w:rPr>
        <w:t>КРАІЛ</w:t>
      </w:r>
      <w:r w:rsidRPr="002B4AAA">
        <w:rPr>
          <w:sz w:val="28"/>
          <w:szCs w:val="28"/>
        </w:rPr>
        <w:t xml:space="preserve"> (https://gc.gov.ua) з метою отримання зауважень та пропозицій до нього. </w:t>
      </w:r>
    </w:p>
    <w:p w:rsidR="00335710" w:rsidRPr="002B4AAA" w:rsidRDefault="00335710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4" w:name="n1990"/>
      <w:bookmarkStart w:id="5" w:name="n1992"/>
      <w:bookmarkStart w:id="6" w:name="n1993"/>
      <w:bookmarkStart w:id="7" w:name="n1994"/>
      <w:bookmarkStart w:id="8" w:name="n1997"/>
      <w:bookmarkEnd w:id="4"/>
      <w:bookmarkEnd w:id="5"/>
      <w:bookmarkEnd w:id="6"/>
      <w:bookmarkEnd w:id="7"/>
      <w:bookmarkEnd w:id="8"/>
    </w:p>
    <w:p w:rsidR="00335710" w:rsidRPr="002B4AAA" w:rsidRDefault="00741837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b/>
          <w:color w:val="333333"/>
          <w:sz w:val="28"/>
          <w:szCs w:val="28"/>
        </w:rPr>
        <w:lastRenderedPageBreak/>
        <w:t>7. Оцінка відповідності</w:t>
      </w:r>
    </w:p>
    <w:p w:rsidR="00335710" w:rsidRPr="002B4AAA" w:rsidRDefault="0074183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proofErr w:type="spellStart"/>
      <w:r w:rsidRPr="002B4AAA">
        <w:rPr>
          <w:rFonts w:eastAsia="Times New Roman"/>
          <w:sz w:val="28"/>
          <w:szCs w:val="28"/>
        </w:rPr>
        <w:t>Проєкт</w:t>
      </w:r>
      <w:proofErr w:type="spellEnd"/>
      <w:r w:rsidRPr="002B4AAA">
        <w:rPr>
          <w:rFonts w:eastAsia="Times New Roman"/>
          <w:sz w:val="28"/>
          <w:szCs w:val="28"/>
        </w:rPr>
        <w:t xml:space="preserve"> </w:t>
      </w:r>
      <w:r w:rsidR="00144469">
        <w:rPr>
          <w:rFonts w:eastAsia="Times New Roman"/>
          <w:sz w:val="28"/>
          <w:szCs w:val="28"/>
        </w:rPr>
        <w:t xml:space="preserve"> рішення</w:t>
      </w:r>
      <w:r w:rsidR="00144469" w:rsidRPr="002B4AAA">
        <w:rPr>
          <w:rFonts w:eastAsia="Times New Roman"/>
          <w:sz w:val="28"/>
          <w:szCs w:val="28"/>
        </w:rPr>
        <w:t xml:space="preserve"> </w:t>
      </w:r>
      <w:r w:rsidRPr="002B4AAA">
        <w:rPr>
          <w:rFonts w:eastAsia="Times New Roman"/>
          <w:sz w:val="28"/>
          <w:szCs w:val="28"/>
        </w:rPr>
        <w:t>не містить положень, що стосуються зобов’язань України у сфері європейської інтеграції.</w:t>
      </w:r>
    </w:p>
    <w:p w:rsidR="00335710" w:rsidRPr="002B4AAA" w:rsidRDefault="0074183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proofErr w:type="spellStart"/>
      <w:r w:rsidRPr="002B4AAA">
        <w:rPr>
          <w:rFonts w:eastAsia="Times New Roman"/>
          <w:sz w:val="28"/>
          <w:szCs w:val="28"/>
        </w:rPr>
        <w:t>Проєкт</w:t>
      </w:r>
      <w:proofErr w:type="spellEnd"/>
      <w:r w:rsidR="00144469">
        <w:rPr>
          <w:rFonts w:eastAsia="Times New Roman"/>
          <w:sz w:val="28"/>
          <w:szCs w:val="28"/>
        </w:rPr>
        <w:t xml:space="preserve"> рішення</w:t>
      </w:r>
      <w:r w:rsidRPr="002B4AAA">
        <w:rPr>
          <w:rFonts w:eastAsia="Times New Roman"/>
          <w:sz w:val="28"/>
          <w:szCs w:val="28"/>
        </w:rPr>
        <w:t xml:space="preserve"> не містить положень, що стосуються прав та свобод, гарантованих Конвенцією про захист прав людини і основоположних свобод.</w:t>
      </w:r>
    </w:p>
    <w:p w:rsidR="00335710" w:rsidRPr="002B4AAA" w:rsidRDefault="0074183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У </w:t>
      </w:r>
      <w:proofErr w:type="spellStart"/>
      <w:r w:rsidR="00394EF2" w:rsidRPr="002B4AAA">
        <w:rPr>
          <w:rFonts w:eastAsia="Times New Roman"/>
          <w:sz w:val="28"/>
          <w:szCs w:val="28"/>
        </w:rPr>
        <w:t>п</w:t>
      </w:r>
      <w:r w:rsidRPr="002B4AAA">
        <w:rPr>
          <w:rFonts w:eastAsia="Times New Roman"/>
          <w:sz w:val="28"/>
          <w:szCs w:val="28"/>
        </w:rPr>
        <w:t>роєкті</w:t>
      </w:r>
      <w:proofErr w:type="spellEnd"/>
      <w:r w:rsidR="00144469">
        <w:rPr>
          <w:rFonts w:eastAsia="Times New Roman"/>
          <w:sz w:val="28"/>
          <w:szCs w:val="28"/>
        </w:rPr>
        <w:t xml:space="preserve"> рішення</w:t>
      </w:r>
      <w:r w:rsidRPr="002B4AAA">
        <w:rPr>
          <w:rFonts w:eastAsia="Times New Roman"/>
          <w:sz w:val="28"/>
          <w:szCs w:val="28"/>
        </w:rPr>
        <w:t xml:space="preserve"> відсутні положення, які впливають на забезпечення рівних прав та можливостей жінок і чоловіків. Нормативно-правовий акт відповідає положенням міжнародно-правових актів з питань забезпечення рівних прав та можливостей жінок і чоловіків, є </w:t>
      </w:r>
      <w:proofErr w:type="spellStart"/>
      <w:r w:rsidRPr="002B4AAA">
        <w:rPr>
          <w:rFonts w:eastAsia="Times New Roman"/>
          <w:sz w:val="28"/>
          <w:szCs w:val="28"/>
        </w:rPr>
        <w:t>гендерно</w:t>
      </w:r>
      <w:proofErr w:type="spellEnd"/>
      <w:r w:rsidRPr="002B4AAA">
        <w:rPr>
          <w:rFonts w:eastAsia="Times New Roman"/>
          <w:sz w:val="28"/>
          <w:szCs w:val="28"/>
        </w:rPr>
        <w:t xml:space="preserve"> нейтральним.</w:t>
      </w:r>
    </w:p>
    <w:p w:rsidR="00335710" w:rsidRPr="002B4AAA" w:rsidRDefault="0074183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У </w:t>
      </w:r>
      <w:proofErr w:type="spellStart"/>
      <w:r w:rsidR="00394EF2" w:rsidRPr="002B4AAA">
        <w:rPr>
          <w:rFonts w:eastAsia="Times New Roman"/>
          <w:sz w:val="28"/>
          <w:szCs w:val="28"/>
        </w:rPr>
        <w:t>п</w:t>
      </w:r>
      <w:r w:rsidRPr="002B4AAA">
        <w:rPr>
          <w:rFonts w:eastAsia="Times New Roman"/>
          <w:sz w:val="28"/>
          <w:szCs w:val="28"/>
        </w:rPr>
        <w:t>роєкті</w:t>
      </w:r>
      <w:proofErr w:type="spellEnd"/>
      <w:r w:rsidR="00144469">
        <w:rPr>
          <w:rFonts w:eastAsia="Times New Roman"/>
          <w:sz w:val="28"/>
          <w:szCs w:val="28"/>
        </w:rPr>
        <w:t xml:space="preserve"> рішення</w:t>
      </w:r>
      <w:r w:rsidRPr="002B4AAA">
        <w:rPr>
          <w:rFonts w:eastAsia="Times New Roman"/>
          <w:sz w:val="28"/>
          <w:szCs w:val="28"/>
        </w:rPr>
        <w:t xml:space="preserve"> відсутні положення, що містять ризики вчинення корупційних правопорушень та правопорушень, пов'язаних із корупцією. </w:t>
      </w:r>
      <w:proofErr w:type="spellStart"/>
      <w:r w:rsidRPr="002B4AAA">
        <w:rPr>
          <w:rFonts w:eastAsia="Times New Roman"/>
          <w:sz w:val="28"/>
          <w:szCs w:val="28"/>
        </w:rPr>
        <w:t>Проєкт</w:t>
      </w:r>
      <w:proofErr w:type="spellEnd"/>
      <w:r w:rsidR="00144469">
        <w:rPr>
          <w:rFonts w:eastAsia="Times New Roman"/>
          <w:sz w:val="28"/>
          <w:szCs w:val="28"/>
        </w:rPr>
        <w:t xml:space="preserve"> рішення</w:t>
      </w:r>
      <w:r w:rsidRPr="002B4AAA">
        <w:rPr>
          <w:rFonts w:eastAsia="Times New Roman"/>
          <w:sz w:val="28"/>
          <w:szCs w:val="28"/>
        </w:rPr>
        <w:t xml:space="preserve"> не потребує проведення антикорупційної експертизи Національного агентства з питань запобігання корупції та громадської антикорупційної експертизи.</w:t>
      </w:r>
    </w:p>
    <w:p w:rsidR="00335710" w:rsidRPr="002B4AAA" w:rsidRDefault="00741837">
      <w:pPr>
        <w:pStyle w:val="a6"/>
        <w:keepNext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bCs/>
          <w:sz w:val="28"/>
          <w:szCs w:val="28"/>
          <w:lang w:eastAsia="uk-UA"/>
        </w:rPr>
      </w:pPr>
      <w:r w:rsidRPr="002B4AAA">
        <w:rPr>
          <w:rFonts w:eastAsia="Times New Roman"/>
          <w:bCs/>
          <w:sz w:val="28"/>
          <w:szCs w:val="28"/>
          <w:lang w:eastAsia="uk-UA"/>
        </w:rPr>
        <w:t xml:space="preserve">У </w:t>
      </w:r>
      <w:proofErr w:type="spellStart"/>
      <w:r w:rsidR="00394EF2" w:rsidRPr="002B4AAA">
        <w:rPr>
          <w:rFonts w:eastAsia="Times New Roman"/>
          <w:bCs/>
          <w:sz w:val="28"/>
          <w:szCs w:val="28"/>
          <w:lang w:eastAsia="uk-UA"/>
        </w:rPr>
        <w:t>п</w:t>
      </w:r>
      <w:r w:rsidRPr="002B4AAA">
        <w:rPr>
          <w:rFonts w:eastAsia="Times New Roman"/>
          <w:bCs/>
          <w:sz w:val="28"/>
          <w:szCs w:val="28"/>
          <w:lang w:eastAsia="uk-UA"/>
        </w:rPr>
        <w:t>роєкті</w:t>
      </w:r>
      <w:proofErr w:type="spellEnd"/>
      <w:r w:rsidR="00144469">
        <w:rPr>
          <w:rFonts w:eastAsia="Times New Roman"/>
          <w:bCs/>
          <w:sz w:val="28"/>
          <w:szCs w:val="28"/>
          <w:lang w:eastAsia="uk-UA"/>
        </w:rPr>
        <w:t xml:space="preserve"> </w:t>
      </w:r>
      <w:r w:rsidR="00144469">
        <w:rPr>
          <w:rFonts w:eastAsia="Times New Roman"/>
          <w:sz w:val="28"/>
          <w:szCs w:val="28"/>
        </w:rPr>
        <w:t>рішення</w:t>
      </w:r>
      <w:r w:rsidRPr="002B4AAA">
        <w:rPr>
          <w:rFonts w:eastAsia="Times New Roman"/>
          <w:bCs/>
          <w:sz w:val="28"/>
          <w:szCs w:val="28"/>
          <w:lang w:eastAsia="uk-UA"/>
        </w:rPr>
        <w:t xml:space="preserve"> відсутні положення, які містять ознаки дискримінації чи створюють підстави для дискримінації. </w:t>
      </w:r>
      <w:proofErr w:type="spellStart"/>
      <w:r w:rsidRPr="002B4AAA">
        <w:rPr>
          <w:rFonts w:eastAsia="Times New Roman"/>
          <w:bCs/>
          <w:sz w:val="28"/>
          <w:szCs w:val="28"/>
          <w:lang w:eastAsia="uk-UA"/>
        </w:rPr>
        <w:t>Проєкт</w:t>
      </w:r>
      <w:proofErr w:type="spellEnd"/>
      <w:r w:rsidR="00144469">
        <w:rPr>
          <w:rFonts w:eastAsia="Times New Roman"/>
          <w:bCs/>
          <w:sz w:val="28"/>
          <w:szCs w:val="28"/>
          <w:lang w:eastAsia="uk-UA"/>
        </w:rPr>
        <w:t xml:space="preserve"> </w:t>
      </w:r>
      <w:r w:rsidR="00144469">
        <w:rPr>
          <w:rFonts w:eastAsia="Times New Roman"/>
          <w:sz w:val="28"/>
          <w:szCs w:val="28"/>
        </w:rPr>
        <w:t>рішення</w:t>
      </w:r>
      <w:r w:rsidRPr="002B4AAA">
        <w:rPr>
          <w:rFonts w:eastAsia="Times New Roman"/>
          <w:bCs/>
          <w:sz w:val="28"/>
          <w:szCs w:val="28"/>
          <w:lang w:eastAsia="uk-UA"/>
        </w:rPr>
        <w:t xml:space="preserve"> не потребує проведення громадської </w:t>
      </w:r>
      <w:proofErr w:type="spellStart"/>
      <w:r w:rsidRPr="002B4AAA">
        <w:rPr>
          <w:rFonts w:eastAsia="Times New Roman"/>
          <w:bCs/>
          <w:sz w:val="28"/>
          <w:szCs w:val="28"/>
          <w:lang w:eastAsia="uk-UA"/>
        </w:rPr>
        <w:t>антидискримінаційної</w:t>
      </w:r>
      <w:proofErr w:type="spellEnd"/>
      <w:r w:rsidRPr="002B4AAA">
        <w:rPr>
          <w:rFonts w:eastAsia="Times New Roman"/>
          <w:bCs/>
          <w:sz w:val="28"/>
          <w:szCs w:val="28"/>
          <w:lang w:eastAsia="uk-UA"/>
        </w:rPr>
        <w:t xml:space="preserve"> експертизи.</w:t>
      </w:r>
    </w:p>
    <w:p w:rsidR="00335710" w:rsidRPr="002B4AAA" w:rsidRDefault="00335710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</w:p>
    <w:p w:rsidR="00335710" w:rsidRPr="002B4AAA" w:rsidRDefault="00741837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b/>
          <w:bCs/>
          <w:color w:val="333333"/>
          <w:sz w:val="28"/>
          <w:szCs w:val="28"/>
          <w:lang w:eastAsia="uk-UA"/>
        </w:rPr>
        <w:t>8. Прогноз результатів</w:t>
      </w:r>
    </w:p>
    <w:p w:rsidR="00335710" w:rsidRPr="002B4AAA" w:rsidRDefault="00741837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Прийняття </w:t>
      </w:r>
      <w:proofErr w:type="spellStart"/>
      <w:r w:rsidR="00394EF2" w:rsidRPr="002B4AAA">
        <w:rPr>
          <w:rFonts w:eastAsia="Times New Roman"/>
          <w:sz w:val="28"/>
          <w:szCs w:val="28"/>
        </w:rPr>
        <w:t>п</w:t>
      </w:r>
      <w:r w:rsidRPr="002B4AAA">
        <w:rPr>
          <w:rFonts w:eastAsia="Times New Roman"/>
          <w:sz w:val="28"/>
          <w:szCs w:val="28"/>
        </w:rPr>
        <w:t>роєкту</w:t>
      </w:r>
      <w:proofErr w:type="spellEnd"/>
      <w:r w:rsidR="00144469">
        <w:rPr>
          <w:rFonts w:eastAsia="Times New Roman"/>
          <w:sz w:val="28"/>
          <w:szCs w:val="28"/>
        </w:rPr>
        <w:t xml:space="preserve"> рішення</w:t>
      </w:r>
      <w:r w:rsidRPr="002B4AAA">
        <w:rPr>
          <w:rFonts w:eastAsia="Times New Roman"/>
          <w:sz w:val="28"/>
          <w:szCs w:val="28"/>
        </w:rPr>
        <w:t xml:space="preserve"> забезпечить реалізацію вимог Закону та </w:t>
      </w:r>
      <w:r w:rsidRPr="002B4AAA"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uk-UA"/>
        </w:rPr>
        <w:t>Положення</w:t>
      </w:r>
      <w:r w:rsidRPr="002B4AAA">
        <w:rPr>
          <w:rFonts w:eastAsia="Times New Roman"/>
          <w:sz w:val="28"/>
          <w:szCs w:val="28"/>
        </w:rPr>
        <w:t>.</w:t>
      </w:r>
    </w:p>
    <w:p w:rsidR="00335710" w:rsidRPr="002B4AAA" w:rsidRDefault="00741837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Реалізація </w:t>
      </w:r>
      <w:proofErr w:type="spellStart"/>
      <w:r w:rsidR="00394EF2" w:rsidRPr="002B4AAA">
        <w:rPr>
          <w:rFonts w:eastAsia="Times New Roman"/>
          <w:sz w:val="28"/>
          <w:szCs w:val="28"/>
        </w:rPr>
        <w:t>п</w:t>
      </w:r>
      <w:r w:rsidRPr="002B4AAA">
        <w:rPr>
          <w:rFonts w:eastAsia="Times New Roman"/>
          <w:sz w:val="28"/>
          <w:szCs w:val="28"/>
        </w:rPr>
        <w:t>роєкту</w:t>
      </w:r>
      <w:proofErr w:type="spellEnd"/>
      <w:r w:rsidR="00144469">
        <w:rPr>
          <w:rFonts w:eastAsia="Times New Roman"/>
          <w:sz w:val="28"/>
          <w:szCs w:val="28"/>
        </w:rPr>
        <w:t xml:space="preserve"> рішення</w:t>
      </w:r>
      <w:r w:rsidRPr="002B4AAA">
        <w:rPr>
          <w:rFonts w:eastAsia="Times New Roman"/>
          <w:sz w:val="28"/>
          <w:szCs w:val="28"/>
        </w:rPr>
        <w:t xml:space="preserve"> не матиме негативного впливу на ринкове середовище, забезпечення захисту прав та інтересів суб’єктів господарювання, громадян і держави.</w:t>
      </w:r>
    </w:p>
    <w:p w:rsidR="00335710" w:rsidRPr="002B4AAA" w:rsidRDefault="00741837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Реалізація </w:t>
      </w:r>
      <w:proofErr w:type="spellStart"/>
      <w:r w:rsidR="00394EF2" w:rsidRPr="002B4AAA">
        <w:rPr>
          <w:rFonts w:eastAsia="Times New Roman"/>
          <w:sz w:val="28"/>
          <w:szCs w:val="28"/>
        </w:rPr>
        <w:t>п</w:t>
      </w:r>
      <w:r w:rsidRPr="002B4AAA">
        <w:rPr>
          <w:rFonts w:eastAsia="Times New Roman"/>
          <w:sz w:val="28"/>
          <w:szCs w:val="28"/>
        </w:rPr>
        <w:t>роєкту</w:t>
      </w:r>
      <w:proofErr w:type="spellEnd"/>
      <w:r w:rsidR="00144469">
        <w:rPr>
          <w:rFonts w:eastAsia="Times New Roman"/>
          <w:sz w:val="28"/>
          <w:szCs w:val="28"/>
        </w:rPr>
        <w:t xml:space="preserve"> рішення</w:t>
      </w:r>
      <w:r w:rsidRPr="002B4AAA">
        <w:rPr>
          <w:rFonts w:eastAsia="Times New Roman"/>
          <w:sz w:val="28"/>
          <w:szCs w:val="28"/>
        </w:rPr>
        <w:t xml:space="preserve"> не матиме впливу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335710" w:rsidRPr="002B4AAA" w:rsidRDefault="00741837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sz w:val="28"/>
          <w:szCs w:val="28"/>
          <w:lang w:eastAsia="uk-UA"/>
        </w:rPr>
        <w:t>Прогноз очі</w:t>
      </w:r>
      <w:r w:rsidR="00394EF2" w:rsidRPr="002B4AAA">
        <w:rPr>
          <w:rFonts w:eastAsia="Times New Roman"/>
          <w:sz w:val="28"/>
          <w:szCs w:val="28"/>
          <w:lang w:eastAsia="uk-UA"/>
        </w:rPr>
        <w:t xml:space="preserve">куваних результатів реалізації </w:t>
      </w:r>
      <w:proofErr w:type="spellStart"/>
      <w:r w:rsidR="00394EF2" w:rsidRPr="002B4AAA">
        <w:rPr>
          <w:rFonts w:eastAsia="Times New Roman"/>
          <w:sz w:val="28"/>
          <w:szCs w:val="28"/>
          <w:lang w:eastAsia="uk-UA"/>
        </w:rPr>
        <w:t>п</w:t>
      </w:r>
      <w:r w:rsidRPr="002B4AAA">
        <w:rPr>
          <w:rFonts w:eastAsia="Times New Roman"/>
          <w:sz w:val="28"/>
          <w:szCs w:val="28"/>
          <w:lang w:eastAsia="uk-UA"/>
        </w:rPr>
        <w:t>роєкту</w:t>
      </w:r>
      <w:proofErr w:type="spellEnd"/>
      <w:r w:rsidR="00144469">
        <w:rPr>
          <w:rFonts w:eastAsia="Times New Roman"/>
          <w:sz w:val="28"/>
          <w:szCs w:val="28"/>
          <w:lang w:eastAsia="uk-UA"/>
        </w:rPr>
        <w:t xml:space="preserve"> </w:t>
      </w:r>
      <w:r w:rsidR="00144469">
        <w:rPr>
          <w:rFonts w:eastAsia="Times New Roman"/>
          <w:sz w:val="28"/>
          <w:szCs w:val="28"/>
        </w:rPr>
        <w:t>рішення</w:t>
      </w:r>
      <w:r w:rsidRPr="002B4AAA">
        <w:rPr>
          <w:rFonts w:eastAsia="Times New Roman"/>
          <w:sz w:val="28"/>
          <w:szCs w:val="28"/>
          <w:lang w:eastAsia="uk-UA"/>
        </w:rPr>
        <w:t xml:space="preserve"> визначається в якісному вимірі та є позитивним для усіх заінтересованих сторін: держави,  організаторів азартних ігор їх гравців та відвідувачів, а також не містить ризиків при реалізації положень </w:t>
      </w:r>
      <w:proofErr w:type="spellStart"/>
      <w:r w:rsidR="00394EF2" w:rsidRPr="002B4AAA">
        <w:rPr>
          <w:rFonts w:eastAsia="Times New Roman"/>
          <w:sz w:val="28"/>
          <w:szCs w:val="28"/>
          <w:lang w:eastAsia="uk-UA"/>
        </w:rPr>
        <w:t>п</w:t>
      </w:r>
      <w:r w:rsidRPr="002B4AAA">
        <w:rPr>
          <w:rFonts w:eastAsia="Times New Roman"/>
          <w:sz w:val="28"/>
          <w:szCs w:val="28"/>
          <w:lang w:eastAsia="uk-UA"/>
        </w:rPr>
        <w:t>роєкту</w:t>
      </w:r>
      <w:proofErr w:type="spellEnd"/>
      <w:r w:rsidRPr="002B4AAA">
        <w:rPr>
          <w:rFonts w:eastAsia="Times New Roman"/>
          <w:sz w:val="28"/>
          <w:szCs w:val="28"/>
        </w:rPr>
        <w:t>.</w:t>
      </w:r>
    </w:p>
    <w:p w:rsidR="00335710" w:rsidRPr="002B4AAA" w:rsidRDefault="00335710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:rsidR="00A801E5" w:rsidRPr="002B4AAA" w:rsidRDefault="00A801E5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:rsidR="0093041A" w:rsidRPr="0093041A" w:rsidRDefault="0093041A" w:rsidP="0093041A">
      <w:pPr>
        <w:widowControl w:val="0"/>
        <w:suppressAutoHyphens/>
        <w:autoSpaceDE w:val="0"/>
        <w:jc w:val="both"/>
        <w:rPr>
          <w:rFonts w:eastAsia="Times New Roman"/>
          <w:kern w:val="2"/>
          <w:lang w:val="ru-RU" w:eastAsia="zh-CN" w:bidi="hi-IN"/>
        </w:rPr>
      </w:pPr>
      <w:bookmarkStart w:id="9" w:name="_heading=h.xkqmbsmrv6wu21"/>
      <w:bookmarkStart w:id="10" w:name="_heading=h.gwphwd4ryvt412"/>
      <w:bookmarkStart w:id="11" w:name="_heading=h.gwphwd4ryvt411"/>
      <w:bookmarkStart w:id="12" w:name="_heading=h.cw2azyb21peu1"/>
      <w:bookmarkStart w:id="13" w:name="_heading=h.tf2gk3lsnlrh1"/>
      <w:bookmarkStart w:id="14" w:name="_heading=h.hmqu6hyizdd1212"/>
      <w:bookmarkStart w:id="15" w:name="_heading=h.hmqu6hyizdd12111"/>
      <w:bookmarkEnd w:id="9"/>
      <w:bookmarkEnd w:id="10"/>
      <w:bookmarkEnd w:id="11"/>
      <w:bookmarkEnd w:id="12"/>
      <w:bookmarkEnd w:id="13"/>
      <w:bookmarkEnd w:id="14"/>
      <w:bookmarkEnd w:id="15"/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 xml:space="preserve">Голова </w:t>
      </w:r>
      <w:proofErr w:type="spellStart"/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>Комісії</w:t>
      </w:r>
      <w:proofErr w:type="spellEnd"/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 xml:space="preserve"> з </w:t>
      </w:r>
    </w:p>
    <w:p w:rsidR="0093041A" w:rsidRPr="0093041A" w:rsidRDefault="0093041A" w:rsidP="0093041A">
      <w:pPr>
        <w:widowControl w:val="0"/>
        <w:suppressAutoHyphens/>
        <w:autoSpaceDE w:val="0"/>
        <w:spacing w:after="200"/>
        <w:jc w:val="both"/>
        <w:rPr>
          <w:rFonts w:eastAsia="Times New Roman"/>
          <w:kern w:val="2"/>
          <w:lang w:val="ru-RU" w:eastAsia="zh-CN" w:bidi="hi-IN"/>
        </w:rPr>
      </w:pPr>
      <w:proofErr w:type="spellStart"/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>регулювання</w:t>
      </w:r>
      <w:proofErr w:type="spellEnd"/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>азартних</w:t>
      </w:r>
      <w:proofErr w:type="spellEnd"/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>ігор</w:t>
      </w:r>
      <w:proofErr w:type="spellEnd"/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 xml:space="preserve"> та лотерей      </w:t>
      </w:r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ab/>
      </w:r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ab/>
      </w:r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ab/>
      </w:r>
      <w:proofErr w:type="spellStart"/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>Іван</w:t>
      </w:r>
      <w:proofErr w:type="spellEnd"/>
      <w:r w:rsidRPr="0093041A">
        <w:rPr>
          <w:rFonts w:eastAsia="Times New Roman"/>
          <w:b/>
          <w:bCs/>
          <w:kern w:val="2"/>
          <w:sz w:val="28"/>
          <w:szCs w:val="28"/>
          <w:lang w:val="ru-RU" w:eastAsia="zh-CN" w:bidi="hi-IN"/>
        </w:rPr>
        <w:t xml:space="preserve"> РУДИЙ</w:t>
      </w:r>
    </w:p>
    <w:p w:rsidR="00335710" w:rsidRPr="00144469" w:rsidRDefault="0093041A" w:rsidP="00144469">
      <w:pPr>
        <w:widowControl w:val="0"/>
        <w:suppressAutoHyphens/>
        <w:autoSpaceDE w:val="0"/>
        <w:spacing w:after="200"/>
        <w:jc w:val="both"/>
        <w:rPr>
          <w:rFonts w:eastAsia="Times New Roman"/>
          <w:b/>
          <w:kern w:val="2"/>
          <w:sz w:val="28"/>
          <w:szCs w:val="28"/>
          <w:lang w:val="ru-RU" w:eastAsia="zh-CN" w:bidi="hi-IN"/>
        </w:rPr>
      </w:pPr>
      <w:r w:rsidRPr="0093041A">
        <w:rPr>
          <w:rFonts w:eastAsia="Times New Roman"/>
          <w:b/>
          <w:kern w:val="2"/>
          <w:sz w:val="28"/>
          <w:szCs w:val="28"/>
          <w:lang w:val="ru-RU" w:eastAsia="zh-CN" w:bidi="hi-IN"/>
        </w:rPr>
        <w:t>___  ____________ 2021 р.</w:t>
      </w:r>
    </w:p>
    <w:sectPr w:rsidR="00335710" w:rsidRPr="00144469" w:rsidSect="00394EF2">
      <w:headerReference w:type="default" r:id="rId8"/>
      <w:headerReference w:type="first" r:id="rId9"/>
      <w:pgSz w:w="11906" w:h="16838"/>
      <w:pgMar w:top="709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93" w:rsidRDefault="00900893">
      <w:r>
        <w:separator/>
      </w:r>
    </w:p>
  </w:endnote>
  <w:endnote w:type="continuationSeparator" w:id="0">
    <w:p w:rsidR="00900893" w:rsidRDefault="0090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93" w:rsidRDefault="00900893">
      <w:r>
        <w:separator/>
      </w:r>
    </w:p>
  </w:footnote>
  <w:footnote w:type="continuationSeparator" w:id="0">
    <w:p w:rsidR="00900893" w:rsidRDefault="00900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93" w:rsidRDefault="00900893">
    <w:pPr>
      <w:pStyle w:val="a6"/>
      <w:jc w:val="center"/>
    </w:pPr>
    <w:r>
      <w:fldChar w:fldCharType="begin"/>
    </w:r>
    <w:r>
      <w:instrText>PAGE</w:instrText>
    </w:r>
    <w:r>
      <w:fldChar w:fldCharType="separate"/>
    </w:r>
    <w:r w:rsidR="00352A5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93" w:rsidRDefault="0090089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710"/>
    <w:rsid w:val="00107A4B"/>
    <w:rsid w:val="00125DFD"/>
    <w:rsid w:val="00144469"/>
    <w:rsid w:val="002261E9"/>
    <w:rsid w:val="002B4AAA"/>
    <w:rsid w:val="00335710"/>
    <w:rsid w:val="00352A50"/>
    <w:rsid w:val="00363FAD"/>
    <w:rsid w:val="00394EF2"/>
    <w:rsid w:val="003A63FF"/>
    <w:rsid w:val="003D3CC5"/>
    <w:rsid w:val="004E57A5"/>
    <w:rsid w:val="004F34B8"/>
    <w:rsid w:val="005266A2"/>
    <w:rsid w:val="005E460A"/>
    <w:rsid w:val="006302B3"/>
    <w:rsid w:val="00741837"/>
    <w:rsid w:val="00753606"/>
    <w:rsid w:val="00815C74"/>
    <w:rsid w:val="00844672"/>
    <w:rsid w:val="00900893"/>
    <w:rsid w:val="0093041A"/>
    <w:rsid w:val="009B08A6"/>
    <w:rsid w:val="00A72136"/>
    <w:rsid w:val="00A801E5"/>
    <w:rsid w:val="00A84EA2"/>
    <w:rsid w:val="00CB5C8E"/>
    <w:rsid w:val="00D3721B"/>
    <w:rsid w:val="00D604BF"/>
    <w:rsid w:val="00E35D59"/>
    <w:rsid w:val="00F61406"/>
    <w:rsid w:val="00F66684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0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0"/>
    <w:qFormat/>
    <w:rsid w:val="00507EB4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0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0"/>
    <w:uiPriority w:val="99"/>
    <w:qFormat/>
    <w:rsid w:val="00507EB4"/>
    <w:rPr>
      <w:rFonts w:cs="Times New Roman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0"/>
    <w:qFormat/>
    <w:rsid w:val="00921166"/>
    <w:rPr>
      <w:rFonts w:cs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qFormat/>
    <w:rsid w:val="009C1417"/>
    <w:rPr>
      <w:rFonts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aa">
    <w:name w:val="Гіперпосилання"/>
    <w:rPr>
      <w:color w:val="000080"/>
      <w:u w:val="single"/>
    </w:rPr>
  </w:style>
  <w:style w:type="paragraph" w:customStyle="1" w:styleId="ab">
    <w:name w:val="Заголовок"/>
    <w:basedOn w:val="a"/>
    <w:next w:val="a4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26700B"/>
    <w:pPr>
      <w:spacing w:after="140" w:line="276" w:lineRule="auto"/>
    </w:pPr>
  </w:style>
  <w:style w:type="paragraph" w:styleId="ac">
    <w:name w:val="List"/>
    <w:basedOn w:val="a4"/>
    <w:uiPriority w:val="99"/>
    <w:rsid w:val="0026700B"/>
    <w:rPr>
      <w:rFonts w:cs="Arial"/>
    </w:rPr>
  </w:style>
  <w:style w:type="paragraph" w:styleId="ad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f0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831F-EA24-45B3-825B-261CEC89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Yura Osi</dc:creator>
  <cp:lastModifiedBy>Guest_20</cp:lastModifiedBy>
  <cp:revision>6</cp:revision>
  <cp:lastPrinted>2021-10-29T08:08:00Z</cp:lastPrinted>
  <dcterms:created xsi:type="dcterms:W3CDTF">2021-10-25T07:50:00Z</dcterms:created>
  <dcterms:modified xsi:type="dcterms:W3CDTF">2021-10-29T08:08:00Z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