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E6" w:rsidRPr="000E66DA" w:rsidRDefault="007253E6" w:rsidP="00046AD4">
      <w:pPr>
        <w:spacing w:after="0" w:line="240" w:lineRule="auto"/>
        <w:contextualSpacing/>
        <w:jc w:val="center"/>
        <w:rPr>
          <w:rFonts w:ascii="Times New Roman" w:hAnsi="Times New Roman" w:cs="Times New Roman"/>
          <w:sz w:val="28"/>
          <w:szCs w:val="28"/>
          <w:lang w:val="uk-UA"/>
        </w:rPr>
      </w:pPr>
      <w:r w:rsidRPr="000E66DA">
        <w:rPr>
          <w:rFonts w:ascii="Times New Roman" w:hAnsi="Times New Roman" w:cs="Times New Roman"/>
          <w:b/>
          <w:sz w:val="28"/>
          <w:szCs w:val="28"/>
          <w:lang w:val="uk-UA"/>
        </w:rPr>
        <w:t>Аналіз регуляторного впливу</w:t>
      </w:r>
    </w:p>
    <w:p w:rsidR="00046AD4" w:rsidRPr="000E66DA" w:rsidRDefault="007253E6" w:rsidP="00046AD4">
      <w:pPr>
        <w:spacing w:after="0"/>
        <w:ind w:right="-81"/>
        <w:jc w:val="center"/>
        <w:rPr>
          <w:rFonts w:ascii="Times New Roman" w:hAnsi="Times New Roman" w:cs="Times New Roman"/>
          <w:b/>
          <w:bCs/>
          <w:sz w:val="28"/>
          <w:szCs w:val="28"/>
          <w:lang w:val="uk-UA" w:eastAsia="uk-UA"/>
        </w:rPr>
      </w:pPr>
      <w:r w:rsidRPr="000E66DA">
        <w:rPr>
          <w:rFonts w:ascii="Times New Roman" w:hAnsi="Times New Roman" w:cs="Times New Roman"/>
          <w:b/>
          <w:sz w:val="28"/>
          <w:szCs w:val="28"/>
          <w:lang w:val="uk-UA"/>
        </w:rPr>
        <w:t xml:space="preserve">до проєкту </w:t>
      </w:r>
      <w:r w:rsidRPr="000E66DA">
        <w:rPr>
          <w:rFonts w:ascii="Times New Roman" w:hAnsi="Times New Roman" w:cs="Times New Roman"/>
          <w:b/>
          <w:bCs/>
          <w:sz w:val="28"/>
          <w:szCs w:val="28"/>
          <w:lang w:val="uk-UA" w:eastAsia="uk-UA"/>
        </w:rPr>
        <w:t xml:space="preserve">рішення Комісії з регулювання азартних ігор та лотерей </w:t>
      </w:r>
    </w:p>
    <w:p w:rsidR="00682BA1" w:rsidRPr="000E66DA" w:rsidRDefault="00682BA1" w:rsidP="00046AD4">
      <w:pPr>
        <w:spacing w:after="0"/>
        <w:ind w:right="-81"/>
        <w:jc w:val="center"/>
        <w:rPr>
          <w:rFonts w:ascii="Times New Roman" w:hAnsi="Times New Roman" w:cs="Times New Roman"/>
          <w:b/>
          <w:bCs/>
          <w:sz w:val="28"/>
          <w:szCs w:val="28"/>
          <w:lang w:val="uk-UA" w:eastAsia="uk-UA"/>
        </w:rPr>
      </w:pPr>
      <w:r w:rsidRPr="000E66DA">
        <w:rPr>
          <w:rFonts w:ascii="Times New Roman" w:hAnsi="Times New Roman" w:cs="Times New Roman"/>
          <w:b/>
          <w:bCs/>
          <w:sz w:val="28"/>
          <w:szCs w:val="28"/>
          <w:lang w:val="uk-UA" w:eastAsia="uk-UA"/>
        </w:rPr>
        <w:t>«Про затвердження Переліку  звітності організаторів азартних ігор  та Порядку подання звітності організаторами азартних ігор»</w:t>
      </w:r>
    </w:p>
    <w:p w:rsidR="007253E6" w:rsidRPr="000E66DA" w:rsidRDefault="007253E6" w:rsidP="00682BA1">
      <w:pPr>
        <w:spacing w:after="0" w:line="240" w:lineRule="auto"/>
        <w:ind w:right="-79"/>
        <w:jc w:val="center"/>
        <w:rPr>
          <w:rFonts w:ascii="Times New Roman" w:hAnsi="Times New Roman" w:cs="Times New Roman"/>
          <w:b/>
          <w:sz w:val="28"/>
          <w:szCs w:val="28"/>
          <w:lang w:val="uk-UA"/>
        </w:rPr>
      </w:pPr>
    </w:p>
    <w:p w:rsidR="007253E6" w:rsidRPr="000E66DA" w:rsidRDefault="007253E6" w:rsidP="007253E6">
      <w:pPr>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b/>
          <w:sz w:val="28"/>
          <w:szCs w:val="28"/>
          <w:lang w:val="uk-UA"/>
        </w:rPr>
        <w:t>1. Визначення проблеми</w:t>
      </w:r>
    </w:p>
    <w:p w:rsidR="007253E6" w:rsidRPr="000E66DA" w:rsidRDefault="007253E6" w:rsidP="007253E6">
      <w:pPr>
        <w:spacing w:after="0" w:line="20" w:lineRule="atLeast"/>
        <w:ind w:firstLine="720"/>
        <w:contextualSpacing/>
        <w:jc w:val="both"/>
        <w:rPr>
          <w:rFonts w:ascii="Times New Roman" w:hAnsi="Times New Roman" w:cs="Times New Roman"/>
          <w:b/>
          <w:sz w:val="28"/>
          <w:szCs w:val="28"/>
          <w:lang w:val="uk-UA"/>
        </w:rPr>
      </w:pPr>
    </w:p>
    <w:p w:rsidR="007253E6" w:rsidRPr="000E66DA" w:rsidRDefault="007253E6" w:rsidP="00682BA1">
      <w:pPr>
        <w:spacing w:after="0" w:line="240" w:lineRule="auto"/>
        <w:ind w:right="-81" w:firstLine="708"/>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 xml:space="preserve">Проєкт рішення Комісії з регулювання азартних ігор та лотерей </w:t>
      </w:r>
      <w:r w:rsidR="00682BA1" w:rsidRPr="000E66DA">
        <w:rPr>
          <w:rFonts w:ascii="Times New Roman" w:hAnsi="Times New Roman" w:cs="Times New Roman"/>
          <w:sz w:val="28"/>
          <w:szCs w:val="28"/>
          <w:lang w:val="uk-UA" w:eastAsia="uk-UA"/>
        </w:rPr>
        <w:t xml:space="preserve">«Про затвердження Переліку  звітності організаторів азартних ігор  та Порядку подання звітності організаторами азартних ігор» </w:t>
      </w:r>
      <w:r w:rsidRPr="000E66DA">
        <w:rPr>
          <w:rFonts w:ascii="Times New Roman" w:hAnsi="Times New Roman" w:cs="Times New Roman"/>
          <w:sz w:val="28"/>
          <w:szCs w:val="28"/>
          <w:lang w:val="uk-UA" w:eastAsia="uk-UA"/>
        </w:rPr>
        <w:t xml:space="preserve"> </w:t>
      </w:r>
      <w:r w:rsidR="00D73296" w:rsidRPr="00D73296">
        <w:rPr>
          <w:rFonts w:ascii="Times New Roman" w:hAnsi="Times New Roman" w:cs="Times New Roman"/>
          <w:sz w:val="28"/>
          <w:szCs w:val="28"/>
          <w:lang w:val="uk-UA" w:eastAsia="uk-UA"/>
        </w:rPr>
        <w:t xml:space="preserve">(далі – проєкт рішення) </w:t>
      </w:r>
      <w:r w:rsidRPr="000E66DA">
        <w:rPr>
          <w:rFonts w:ascii="Times New Roman" w:hAnsi="Times New Roman" w:cs="Times New Roman"/>
          <w:sz w:val="28"/>
          <w:szCs w:val="28"/>
          <w:lang w:val="uk-UA" w:eastAsia="uk-UA"/>
        </w:rPr>
        <w:t xml:space="preserve">розроблено на виконання </w:t>
      </w:r>
      <w:r w:rsidR="00280BA0" w:rsidRPr="000E66DA">
        <w:rPr>
          <w:rFonts w:ascii="Times New Roman" w:hAnsi="Times New Roman" w:cs="Times New Roman"/>
          <w:sz w:val="28"/>
          <w:szCs w:val="28"/>
          <w:lang w:val="uk-UA" w:eastAsia="uk-UA"/>
        </w:rPr>
        <w:t>вимог</w:t>
      </w:r>
      <w:r w:rsidRPr="000E66DA">
        <w:rPr>
          <w:rFonts w:ascii="Times New Roman" w:hAnsi="Times New Roman" w:cs="Times New Roman"/>
          <w:sz w:val="28"/>
          <w:szCs w:val="28"/>
          <w:lang w:val="uk-UA" w:eastAsia="uk-UA"/>
        </w:rPr>
        <w:t xml:space="preserve"> Закону України «Про державне регулювання діяльності щодо організації та проведення азартних ігор»  (далі – Закон).</w:t>
      </w:r>
    </w:p>
    <w:p w:rsidR="00EC3200" w:rsidRPr="000E66DA" w:rsidRDefault="00280BA0" w:rsidP="00607D65">
      <w:pPr>
        <w:pStyle w:val="rvps2"/>
        <w:shd w:val="clear" w:color="auto" w:fill="FFFFFF"/>
        <w:spacing w:before="0" w:after="0"/>
        <w:ind w:firstLine="708"/>
        <w:jc w:val="both"/>
        <w:rPr>
          <w:rFonts w:eastAsia="Calibri"/>
          <w:sz w:val="28"/>
          <w:szCs w:val="28"/>
        </w:rPr>
      </w:pPr>
      <w:r w:rsidRPr="000E66DA">
        <w:rPr>
          <w:sz w:val="28"/>
          <w:szCs w:val="28"/>
        </w:rPr>
        <w:t xml:space="preserve">Статтею </w:t>
      </w:r>
      <w:r w:rsidR="00607D65" w:rsidRPr="000E66DA">
        <w:rPr>
          <w:sz w:val="28"/>
          <w:szCs w:val="28"/>
        </w:rPr>
        <w:t>8</w:t>
      </w:r>
      <w:r w:rsidRPr="000E66DA">
        <w:rPr>
          <w:sz w:val="28"/>
          <w:szCs w:val="28"/>
        </w:rPr>
        <w:t xml:space="preserve"> Закону </w:t>
      </w:r>
      <w:r w:rsidRPr="000E66DA">
        <w:rPr>
          <w:rFonts w:eastAsia="Calibri"/>
          <w:sz w:val="28"/>
          <w:szCs w:val="28"/>
        </w:rPr>
        <w:t>визначено, щ</w:t>
      </w:r>
      <w:r w:rsidR="00EC3200" w:rsidRPr="000E66DA">
        <w:rPr>
          <w:rFonts w:eastAsia="Calibri"/>
          <w:sz w:val="28"/>
          <w:szCs w:val="28"/>
        </w:rPr>
        <w:t xml:space="preserve">о під </w:t>
      </w:r>
      <w:r w:rsidRPr="000E66DA">
        <w:rPr>
          <w:rFonts w:eastAsia="Calibri"/>
          <w:sz w:val="28"/>
          <w:szCs w:val="28"/>
        </w:rPr>
        <w:t xml:space="preserve"> </w:t>
      </w:r>
      <w:r w:rsidR="00EC3200" w:rsidRPr="000E66DA">
        <w:rPr>
          <w:rFonts w:eastAsia="Calibri"/>
          <w:sz w:val="28"/>
          <w:szCs w:val="28"/>
        </w:rPr>
        <w:t xml:space="preserve">час реалізації державної політики у сфері організації та проведення азартних ігор КРАІЛ отримує безоплатно від організаторів азартних ігор необхідну для виконання своїх повноважень звітність та інформацію, у тому числі таку, що містить фінансово-економічні показники, а також </w:t>
      </w:r>
      <w:bookmarkStart w:id="0" w:name="n248"/>
      <w:bookmarkEnd w:id="0"/>
      <w:r w:rsidR="00EC3200" w:rsidRPr="000E66DA">
        <w:rPr>
          <w:rFonts w:eastAsia="Calibri"/>
          <w:sz w:val="28"/>
          <w:szCs w:val="28"/>
        </w:rPr>
        <w:t>затверджує перелік, форми та порядок подання звітності організаторами азартних ігор.</w:t>
      </w:r>
    </w:p>
    <w:p w:rsidR="00055157" w:rsidRPr="000E66DA" w:rsidRDefault="00055157" w:rsidP="00055157">
      <w:pPr>
        <w:spacing w:after="0" w:line="240" w:lineRule="auto"/>
        <w:ind w:firstLine="708"/>
        <w:contextualSpacing/>
        <w:jc w:val="both"/>
        <w:rPr>
          <w:rFonts w:ascii="Times New Roman" w:hAnsi="Times New Roman" w:cs="Times New Roman"/>
          <w:sz w:val="28"/>
          <w:szCs w:val="28"/>
          <w:lang w:val="uk-UA" w:eastAsia="uk-UA"/>
        </w:rPr>
      </w:pPr>
      <w:bookmarkStart w:id="1" w:name="n260"/>
      <w:bookmarkStart w:id="2" w:name="n269"/>
      <w:bookmarkStart w:id="3" w:name="n270"/>
      <w:bookmarkStart w:id="4" w:name="n275"/>
      <w:bookmarkEnd w:id="1"/>
      <w:bookmarkEnd w:id="2"/>
      <w:bookmarkEnd w:id="3"/>
      <w:bookmarkEnd w:id="4"/>
      <w:r w:rsidRPr="000E66DA">
        <w:rPr>
          <w:rFonts w:ascii="Times New Roman" w:hAnsi="Times New Roman" w:cs="Times New Roman"/>
          <w:sz w:val="28"/>
          <w:szCs w:val="28"/>
          <w:lang w:val="uk-UA" w:eastAsia="uk-UA"/>
        </w:rPr>
        <w:t>Також, відповідно до положень Закону КРАІЛ здійснює моніторинг діяльності у сфері організації та проведення азартних ігор та за його результатами готує щорічний звіт про основні показники діяльності у сфері організації та проведення азартних ігор, що повинен містити, зокрема, інформацію про організаторів гральних закладів, кількість гральних закладів, кількість виданих ліцензій та їх види, про виявлені порушення та санкції, кількість розглянутих скарг та вжиті заходи, про обсяги надходжень до державного та місцевих бюджетів від провадження зазначеної діяльності, кількість осіб, які грали в азартні ігри, в тому числі за видами азартних ігор, кошти, що надійшли як прийняті ставки, виплачені виграші (призи), кількість осіб, включених до Реєстру осіб, яким обмежено доступ до гральних закладів та/або участь в азартних іграх, а також про вжиті заходи для профілактики та боротьби з ігровою залежністю (лудоманією).</w:t>
      </w:r>
    </w:p>
    <w:p w:rsidR="0087424C" w:rsidRPr="000E66DA" w:rsidRDefault="0087424C" w:rsidP="0087424C">
      <w:pPr>
        <w:spacing w:after="0" w:line="240" w:lineRule="auto"/>
        <w:ind w:firstLine="708"/>
        <w:contextualSpacing/>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На території України дозволяється організовувати та проводити виключно такі види діяльності у сфері організації та проведення азартних ігор:</w:t>
      </w:r>
    </w:p>
    <w:p w:rsidR="0087424C" w:rsidRPr="000E66DA" w:rsidRDefault="0087424C" w:rsidP="0087424C">
      <w:pPr>
        <w:pStyle w:val="a8"/>
        <w:numPr>
          <w:ilvl w:val="0"/>
          <w:numId w:val="8"/>
        </w:numPr>
        <w:spacing w:after="0" w:line="240" w:lineRule="auto"/>
        <w:jc w:val="both"/>
        <w:rPr>
          <w:rFonts w:ascii="Times New Roman" w:hAnsi="Times New Roman" w:cs="Times New Roman"/>
          <w:sz w:val="28"/>
          <w:szCs w:val="28"/>
          <w:lang w:val="uk-UA" w:eastAsia="uk-UA"/>
        </w:rPr>
      </w:pPr>
      <w:bookmarkStart w:id="5" w:name="n73"/>
      <w:bookmarkEnd w:id="5"/>
      <w:r w:rsidRPr="000E66DA">
        <w:rPr>
          <w:rFonts w:ascii="Times New Roman" w:hAnsi="Times New Roman" w:cs="Times New Roman"/>
          <w:sz w:val="28"/>
          <w:szCs w:val="28"/>
          <w:lang w:val="uk-UA" w:eastAsia="uk-UA"/>
        </w:rPr>
        <w:t>організація та проведення азартних ігор у гральних закладах казино;</w:t>
      </w:r>
    </w:p>
    <w:p w:rsidR="0087424C" w:rsidRPr="000E66DA" w:rsidRDefault="0087424C" w:rsidP="0087424C">
      <w:pPr>
        <w:pStyle w:val="a8"/>
        <w:numPr>
          <w:ilvl w:val="0"/>
          <w:numId w:val="8"/>
        </w:numPr>
        <w:spacing w:after="0" w:line="20" w:lineRule="atLeast"/>
        <w:jc w:val="both"/>
        <w:rPr>
          <w:rFonts w:ascii="Times New Roman" w:hAnsi="Times New Roman" w:cs="Times New Roman"/>
          <w:sz w:val="28"/>
          <w:szCs w:val="28"/>
          <w:lang w:val="uk-UA" w:eastAsia="uk-UA"/>
        </w:rPr>
      </w:pPr>
      <w:bookmarkStart w:id="6" w:name="n74"/>
      <w:bookmarkEnd w:id="6"/>
      <w:r w:rsidRPr="000E66DA">
        <w:rPr>
          <w:rFonts w:ascii="Times New Roman" w:hAnsi="Times New Roman" w:cs="Times New Roman"/>
          <w:sz w:val="28"/>
          <w:szCs w:val="28"/>
          <w:lang w:val="uk-UA" w:eastAsia="uk-UA"/>
        </w:rPr>
        <w:t>організація та проведення азартних ігор казино в мережі Інтернет;</w:t>
      </w:r>
    </w:p>
    <w:p w:rsidR="0087424C" w:rsidRPr="000E66DA" w:rsidRDefault="0087424C" w:rsidP="0087424C">
      <w:pPr>
        <w:pStyle w:val="a8"/>
        <w:numPr>
          <w:ilvl w:val="0"/>
          <w:numId w:val="8"/>
        </w:numPr>
        <w:spacing w:after="0" w:line="20" w:lineRule="atLeast"/>
        <w:jc w:val="both"/>
        <w:rPr>
          <w:rFonts w:ascii="Times New Roman" w:hAnsi="Times New Roman" w:cs="Times New Roman"/>
          <w:sz w:val="28"/>
          <w:szCs w:val="28"/>
          <w:lang w:val="uk-UA" w:eastAsia="uk-UA"/>
        </w:rPr>
      </w:pPr>
      <w:bookmarkStart w:id="7" w:name="n75"/>
      <w:bookmarkEnd w:id="7"/>
      <w:r w:rsidRPr="000E66DA">
        <w:rPr>
          <w:rFonts w:ascii="Times New Roman" w:hAnsi="Times New Roman" w:cs="Times New Roman"/>
          <w:sz w:val="28"/>
          <w:szCs w:val="28"/>
          <w:lang w:val="uk-UA" w:eastAsia="uk-UA"/>
        </w:rPr>
        <w:t>організація та проведення букмекерської діяльності в букмекерських пунктах та в мережі Інтернет;</w:t>
      </w:r>
    </w:p>
    <w:p w:rsidR="0087424C" w:rsidRPr="000E66DA" w:rsidRDefault="0087424C" w:rsidP="0087424C">
      <w:pPr>
        <w:pStyle w:val="a8"/>
        <w:numPr>
          <w:ilvl w:val="0"/>
          <w:numId w:val="8"/>
        </w:numPr>
        <w:spacing w:after="0" w:line="20" w:lineRule="atLeast"/>
        <w:jc w:val="both"/>
        <w:rPr>
          <w:rFonts w:ascii="Times New Roman" w:hAnsi="Times New Roman" w:cs="Times New Roman"/>
          <w:sz w:val="28"/>
          <w:szCs w:val="28"/>
          <w:lang w:val="uk-UA" w:eastAsia="uk-UA"/>
        </w:rPr>
      </w:pPr>
      <w:bookmarkStart w:id="8" w:name="n76"/>
      <w:bookmarkEnd w:id="8"/>
      <w:r w:rsidRPr="000E66DA">
        <w:rPr>
          <w:rFonts w:ascii="Times New Roman" w:hAnsi="Times New Roman" w:cs="Times New Roman"/>
          <w:sz w:val="28"/>
          <w:szCs w:val="28"/>
          <w:lang w:val="uk-UA" w:eastAsia="uk-UA"/>
        </w:rPr>
        <w:t>організація та проведення азартних ігор у залах гральних автоматів;</w:t>
      </w:r>
    </w:p>
    <w:p w:rsidR="0087424C" w:rsidRPr="000E66DA" w:rsidRDefault="0087424C" w:rsidP="0087424C">
      <w:pPr>
        <w:pStyle w:val="a8"/>
        <w:numPr>
          <w:ilvl w:val="0"/>
          <w:numId w:val="8"/>
        </w:numPr>
        <w:spacing w:after="0" w:line="20" w:lineRule="atLeast"/>
        <w:jc w:val="both"/>
        <w:rPr>
          <w:rFonts w:ascii="Times New Roman" w:hAnsi="Times New Roman" w:cs="Times New Roman"/>
          <w:sz w:val="28"/>
          <w:szCs w:val="28"/>
          <w:lang w:val="uk-UA" w:eastAsia="uk-UA"/>
        </w:rPr>
      </w:pPr>
      <w:bookmarkStart w:id="9" w:name="n77"/>
      <w:bookmarkEnd w:id="9"/>
      <w:r w:rsidRPr="000E66DA">
        <w:rPr>
          <w:rFonts w:ascii="Times New Roman" w:hAnsi="Times New Roman" w:cs="Times New Roman"/>
          <w:sz w:val="28"/>
          <w:szCs w:val="28"/>
          <w:lang w:val="uk-UA" w:eastAsia="uk-UA"/>
        </w:rPr>
        <w:t>організація та проведення азартних ігор в покер в мережі Інтернет.</w:t>
      </w:r>
    </w:p>
    <w:p w:rsidR="0087424C" w:rsidRPr="000E66DA" w:rsidRDefault="0087424C" w:rsidP="0087424C">
      <w:pPr>
        <w:spacing w:after="0" w:line="20" w:lineRule="atLeast"/>
        <w:ind w:firstLine="720"/>
        <w:contextualSpacing/>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lastRenderedPageBreak/>
        <w:t>Зазначені види діяльності у сфері організації та проведення азартних ігор можуть проводитися виключно за наявності у суб’єкта господарювання відповідних передбачених Законом ліцензій.</w:t>
      </w:r>
    </w:p>
    <w:p w:rsidR="00EA5FFC" w:rsidRPr="000E66DA" w:rsidRDefault="0087424C" w:rsidP="007F0872">
      <w:pPr>
        <w:shd w:val="clear" w:color="auto" w:fill="FFFFFF"/>
        <w:suppressAutoHyphens w:val="0"/>
        <w:spacing w:after="0" w:line="240" w:lineRule="auto"/>
        <w:ind w:right="15" w:firstLine="708"/>
        <w:jc w:val="both"/>
        <w:rPr>
          <w:rFonts w:ascii="Times New Roman" w:eastAsia="Times New Roman" w:hAnsi="Times New Roman" w:cs="Times New Roman"/>
          <w:sz w:val="28"/>
          <w:szCs w:val="28"/>
          <w:lang w:val="uk-UA" w:eastAsia="uk-UA"/>
        </w:rPr>
      </w:pPr>
      <w:r w:rsidRPr="000E66DA">
        <w:rPr>
          <w:rFonts w:ascii="Times New Roman" w:eastAsia="Times New Roman" w:hAnsi="Times New Roman" w:cs="Times New Roman"/>
          <w:sz w:val="28"/>
          <w:szCs w:val="28"/>
          <w:lang w:val="uk-UA" w:eastAsia="uk-UA"/>
        </w:rPr>
        <w:t>В</w:t>
      </w:r>
      <w:r w:rsidR="00EA5FFC" w:rsidRPr="000E66DA">
        <w:rPr>
          <w:rFonts w:ascii="Times New Roman" w:eastAsia="Times New Roman" w:hAnsi="Times New Roman" w:cs="Times New Roman"/>
          <w:sz w:val="28"/>
          <w:szCs w:val="28"/>
          <w:lang w:val="uk-UA" w:eastAsia="uk-UA"/>
        </w:rPr>
        <w:t>ідповідно до п</w:t>
      </w:r>
      <w:r w:rsidR="00EA5FFC" w:rsidRPr="000E66DA">
        <w:rPr>
          <w:rFonts w:ascii="Times New Roman" w:hAnsi="Times New Roman" w:cs="Times New Roman"/>
          <w:sz w:val="28"/>
          <w:szCs w:val="28"/>
          <w:lang w:val="uk-UA" w:eastAsia="uk-UA"/>
        </w:rPr>
        <w:t>останов</w:t>
      </w:r>
      <w:r w:rsidR="00F7175B" w:rsidRPr="000E66DA">
        <w:rPr>
          <w:rFonts w:ascii="Times New Roman" w:hAnsi="Times New Roman" w:cs="Times New Roman"/>
          <w:sz w:val="28"/>
          <w:szCs w:val="28"/>
          <w:lang w:val="uk-UA" w:eastAsia="uk-UA"/>
        </w:rPr>
        <w:t>и</w:t>
      </w:r>
      <w:r w:rsidRPr="000E66DA">
        <w:rPr>
          <w:rFonts w:ascii="Times New Roman" w:hAnsi="Times New Roman" w:cs="Times New Roman"/>
          <w:sz w:val="28"/>
          <w:szCs w:val="28"/>
          <w:lang w:val="uk-UA" w:eastAsia="uk-UA"/>
        </w:rPr>
        <w:t xml:space="preserve"> Кабінету Міністрів України </w:t>
      </w:r>
      <w:r w:rsidR="00EA5FFC" w:rsidRPr="000E66DA">
        <w:rPr>
          <w:rFonts w:ascii="Times New Roman" w:hAnsi="Times New Roman" w:cs="Times New Roman"/>
          <w:sz w:val="28"/>
          <w:szCs w:val="28"/>
          <w:lang w:val="uk-UA" w:eastAsia="uk-UA"/>
        </w:rPr>
        <w:t xml:space="preserve">від 21.12.2020 № 1341 «Про затвердження ліцензійних умов у сфері організації та проведення азартних ігор» (далі – Ліцензійні умови) організатори азартних ігор </w:t>
      </w:r>
      <w:r w:rsidR="00F7175B" w:rsidRPr="000E66DA">
        <w:rPr>
          <w:rFonts w:ascii="Times New Roman" w:hAnsi="Times New Roman" w:cs="Times New Roman"/>
          <w:sz w:val="28"/>
          <w:szCs w:val="28"/>
          <w:lang w:val="uk-UA" w:eastAsia="uk-UA"/>
        </w:rPr>
        <w:t xml:space="preserve">під час провадження діяльності </w:t>
      </w:r>
      <w:r w:rsidR="00EA5FFC" w:rsidRPr="000E66DA">
        <w:rPr>
          <w:rFonts w:ascii="Times New Roman" w:hAnsi="Times New Roman" w:cs="Times New Roman"/>
          <w:sz w:val="28"/>
          <w:szCs w:val="28"/>
          <w:lang w:val="uk-UA" w:eastAsia="uk-UA"/>
        </w:rPr>
        <w:t>повинні дотримуватися обов’язкових для виконання вимог</w:t>
      </w:r>
      <w:r w:rsidR="00833E5F" w:rsidRPr="000E66DA">
        <w:rPr>
          <w:rFonts w:ascii="Times New Roman" w:hAnsi="Times New Roman" w:cs="Times New Roman"/>
          <w:sz w:val="28"/>
          <w:szCs w:val="28"/>
          <w:lang w:val="uk-UA" w:eastAsia="uk-UA"/>
        </w:rPr>
        <w:t>, які</w:t>
      </w:r>
      <w:r w:rsidR="00F7175B" w:rsidRPr="000E66DA">
        <w:rPr>
          <w:rFonts w:ascii="Times New Roman" w:hAnsi="Times New Roman" w:cs="Times New Roman"/>
          <w:sz w:val="28"/>
          <w:szCs w:val="28"/>
          <w:lang w:val="uk-UA" w:eastAsia="uk-UA"/>
        </w:rPr>
        <w:t>, зокрема, стосуються</w:t>
      </w:r>
      <w:r w:rsidR="00F7175B" w:rsidRPr="000E66DA">
        <w:rPr>
          <w:rFonts w:ascii="Times New Roman" w:eastAsia="Times New Roman" w:hAnsi="Times New Roman" w:cs="Times New Roman"/>
          <w:sz w:val="28"/>
          <w:szCs w:val="28"/>
          <w:lang w:val="uk-UA" w:eastAsia="uk-UA"/>
        </w:rPr>
        <w:t xml:space="preserve">: </w:t>
      </w:r>
      <w:r w:rsidR="00170BFA" w:rsidRPr="000E66DA">
        <w:rPr>
          <w:rFonts w:ascii="Times New Roman" w:eastAsia="Times New Roman" w:hAnsi="Times New Roman" w:cs="Times New Roman"/>
          <w:sz w:val="28"/>
          <w:szCs w:val="28"/>
          <w:lang w:val="uk-UA" w:eastAsia="uk-UA"/>
        </w:rPr>
        <w:t>місця провадження діяльності у сфері організації та проведення азартних ігор;</w:t>
      </w:r>
      <w:r w:rsidR="005717D1" w:rsidRPr="000E66DA">
        <w:rPr>
          <w:rFonts w:ascii="Times New Roman" w:eastAsia="Times New Roman" w:hAnsi="Times New Roman" w:cs="Times New Roman"/>
          <w:sz w:val="28"/>
          <w:szCs w:val="28"/>
          <w:lang w:val="uk-UA" w:eastAsia="uk-UA"/>
        </w:rPr>
        <w:t xml:space="preserve"> </w:t>
      </w:r>
      <w:r w:rsidR="00170BFA" w:rsidRPr="000E66DA">
        <w:rPr>
          <w:rFonts w:ascii="Times New Roman" w:eastAsia="Times New Roman" w:hAnsi="Times New Roman" w:cs="Times New Roman"/>
          <w:sz w:val="28"/>
          <w:szCs w:val="28"/>
          <w:lang w:val="uk-UA" w:eastAsia="uk-UA"/>
        </w:rPr>
        <w:t>розміщення  гральних закладів;</w:t>
      </w:r>
      <w:r w:rsidR="005717D1" w:rsidRPr="000E66DA">
        <w:rPr>
          <w:rFonts w:ascii="Times New Roman" w:eastAsia="Times New Roman" w:hAnsi="Times New Roman" w:cs="Times New Roman"/>
          <w:sz w:val="28"/>
          <w:szCs w:val="28"/>
          <w:lang w:val="uk-UA" w:eastAsia="uk-UA"/>
        </w:rPr>
        <w:t xml:space="preserve"> </w:t>
      </w:r>
      <w:r w:rsidR="00170BFA" w:rsidRPr="000E66DA">
        <w:rPr>
          <w:rFonts w:ascii="Times New Roman" w:eastAsia="Times New Roman" w:hAnsi="Times New Roman" w:cs="Times New Roman"/>
          <w:sz w:val="28"/>
          <w:szCs w:val="28"/>
          <w:lang w:val="uk-UA" w:eastAsia="uk-UA"/>
        </w:rPr>
        <w:t>ведення обліку</w:t>
      </w:r>
      <w:r w:rsidR="00B6449D" w:rsidRPr="000E66DA">
        <w:rPr>
          <w:rFonts w:ascii="Times New Roman" w:eastAsia="Times New Roman" w:hAnsi="Times New Roman" w:cs="Times New Roman"/>
          <w:sz w:val="28"/>
          <w:szCs w:val="28"/>
          <w:lang w:val="uk-UA" w:eastAsia="uk-UA"/>
        </w:rPr>
        <w:t xml:space="preserve"> виграшів (призів)</w:t>
      </w:r>
      <w:r w:rsidR="00170BFA" w:rsidRPr="000E66DA">
        <w:rPr>
          <w:rFonts w:ascii="Times New Roman" w:eastAsia="Times New Roman" w:hAnsi="Times New Roman" w:cs="Times New Roman"/>
          <w:sz w:val="28"/>
          <w:szCs w:val="28"/>
          <w:lang w:val="uk-UA" w:eastAsia="uk-UA"/>
        </w:rPr>
        <w:t>;</w:t>
      </w:r>
      <w:r w:rsidR="00C90730" w:rsidRPr="000E66DA">
        <w:rPr>
          <w:rFonts w:ascii="Times New Roman" w:eastAsia="Times New Roman" w:hAnsi="Times New Roman" w:cs="Times New Roman"/>
          <w:sz w:val="28"/>
          <w:szCs w:val="28"/>
          <w:lang w:val="uk-UA" w:eastAsia="uk-UA"/>
        </w:rPr>
        <w:t xml:space="preserve"> </w:t>
      </w:r>
      <w:r w:rsidR="00170BFA" w:rsidRPr="000E66DA">
        <w:rPr>
          <w:rFonts w:ascii="Times New Roman" w:eastAsia="Times New Roman" w:hAnsi="Times New Roman" w:cs="Times New Roman"/>
          <w:sz w:val="28"/>
          <w:szCs w:val="28"/>
          <w:lang w:val="uk-UA" w:eastAsia="uk-UA"/>
        </w:rPr>
        <w:t>використання грального обладнання</w:t>
      </w:r>
      <w:r w:rsidR="00DA1FE6" w:rsidRPr="000E66DA">
        <w:rPr>
          <w:rFonts w:ascii="Times New Roman" w:eastAsia="Times New Roman" w:hAnsi="Times New Roman" w:cs="Times New Roman"/>
          <w:sz w:val="28"/>
          <w:szCs w:val="28"/>
          <w:lang w:val="uk-UA" w:eastAsia="uk-UA"/>
        </w:rPr>
        <w:t xml:space="preserve"> та забезпечення проведення сертифікації та інспектування грального обладнання суб’єктами сертифікації</w:t>
      </w:r>
      <w:r w:rsidR="00170BFA" w:rsidRPr="000E66DA">
        <w:rPr>
          <w:rFonts w:ascii="Times New Roman" w:eastAsia="Times New Roman" w:hAnsi="Times New Roman" w:cs="Times New Roman"/>
          <w:sz w:val="28"/>
          <w:szCs w:val="28"/>
          <w:lang w:val="uk-UA" w:eastAsia="uk-UA"/>
        </w:rPr>
        <w:t>;</w:t>
      </w:r>
      <w:r w:rsidR="00C90730" w:rsidRPr="000E66DA">
        <w:rPr>
          <w:rFonts w:ascii="Times New Roman" w:eastAsia="Times New Roman" w:hAnsi="Times New Roman" w:cs="Times New Roman"/>
          <w:sz w:val="28"/>
          <w:szCs w:val="28"/>
          <w:lang w:val="uk-UA" w:eastAsia="uk-UA"/>
        </w:rPr>
        <w:t xml:space="preserve"> вжиття</w:t>
      </w:r>
      <w:r w:rsidR="007C57DF" w:rsidRPr="000E66DA">
        <w:rPr>
          <w:rFonts w:ascii="Times New Roman" w:eastAsia="Times New Roman" w:hAnsi="Times New Roman" w:cs="Times New Roman"/>
          <w:sz w:val="28"/>
          <w:szCs w:val="28"/>
          <w:lang w:val="uk-UA" w:eastAsia="uk-UA"/>
        </w:rPr>
        <w:t xml:space="preserve"> заходів для боротьби з ігровою залежністю (лудоманією), </w:t>
      </w:r>
      <w:r w:rsidR="00DA1FE6" w:rsidRPr="000E66DA">
        <w:rPr>
          <w:rFonts w:ascii="Times New Roman" w:eastAsia="Times New Roman" w:hAnsi="Times New Roman" w:cs="Times New Roman"/>
          <w:sz w:val="28"/>
          <w:szCs w:val="28"/>
          <w:lang w:val="uk-UA" w:eastAsia="uk-UA"/>
        </w:rPr>
        <w:t>дотримання  фінансово-економічних вимог та інших</w:t>
      </w:r>
      <w:r w:rsidR="007C57DF" w:rsidRPr="000E66DA">
        <w:rPr>
          <w:rFonts w:ascii="Times New Roman" w:eastAsia="Times New Roman" w:hAnsi="Times New Roman" w:cs="Times New Roman"/>
          <w:sz w:val="28"/>
          <w:szCs w:val="28"/>
          <w:lang w:val="uk-UA" w:eastAsia="uk-UA"/>
        </w:rPr>
        <w:t xml:space="preserve"> обов’язк</w:t>
      </w:r>
      <w:r w:rsidR="00DA1FE6" w:rsidRPr="000E66DA">
        <w:rPr>
          <w:rFonts w:ascii="Times New Roman" w:eastAsia="Times New Roman" w:hAnsi="Times New Roman" w:cs="Times New Roman"/>
          <w:sz w:val="28"/>
          <w:szCs w:val="28"/>
          <w:lang w:val="uk-UA" w:eastAsia="uk-UA"/>
        </w:rPr>
        <w:t>ів</w:t>
      </w:r>
      <w:r w:rsidR="007C57DF" w:rsidRPr="000E66DA">
        <w:rPr>
          <w:rFonts w:ascii="Times New Roman" w:eastAsia="Times New Roman" w:hAnsi="Times New Roman" w:cs="Times New Roman"/>
          <w:sz w:val="28"/>
          <w:szCs w:val="28"/>
          <w:lang w:val="uk-UA" w:eastAsia="uk-UA"/>
        </w:rPr>
        <w:t>, передбачен</w:t>
      </w:r>
      <w:r w:rsidR="00DA1FE6" w:rsidRPr="000E66DA">
        <w:rPr>
          <w:rFonts w:ascii="Times New Roman" w:eastAsia="Times New Roman" w:hAnsi="Times New Roman" w:cs="Times New Roman"/>
          <w:sz w:val="28"/>
          <w:szCs w:val="28"/>
          <w:lang w:val="uk-UA" w:eastAsia="uk-UA"/>
        </w:rPr>
        <w:t>их</w:t>
      </w:r>
      <w:r w:rsidR="007C57DF" w:rsidRPr="000E66DA">
        <w:rPr>
          <w:rFonts w:ascii="Times New Roman" w:eastAsia="Times New Roman" w:hAnsi="Times New Roman" w:cs="Times New Roman"/>
          <w:sz w:val="28"/>
          <w:szCs w:val="28"/>
          <w:lang w:val="uk-UA" w:eastAsia="uk-UA"/>
        </w:rPr>
        <w:t> </w:t>
      </w:r>
      <w:hyperlink r:id="rId8" w:tgtFrame="_blank" w:history="1">
        <w:r w:rsidR="007C57DF" w:rsidRPr="000E66DA">
          <w:rPr>
            <w:rFonts w:ascii="Times New Roman" w:eastAsia="Times New Roman" w:hAnsi="Times New Roman" w:cs="Times New Roman"/>
            <w:sz w:val="28"/>
            <w:szCs w:val="28"/>
            <w:lang w:val="uk-UA" w:eastAsia="uk-UA"/>
          </w:rPr>
          <w:t>Законом</w:t>
        </w:r>
        <w:r w:rsidR="00DA1FE6" w:rsidRPr="000E66DA">
          <w:rPr>
            <w:rFonts w:ascii="Times New Roman" w:eastAsia="Times New Roman" w:hAnsi="Times New Roman" w:cs="Times New Roman"/>
            <w:sz w:val="28"/>
            <w:szCs w:val="28"/>
            <w:lang w:val="uk-UA" w:eastAsia="uk-UA"/>
          </w:rPr>
          <w:t>.</w:t>
        </w:r>
        <w:r w:rsidR="007C57DF" w:rsidRPr="000E66DA">
          <w:rPr>
            <w:rFonts w:ascii="Times New Roman" w:eastAsia="Times New Roman" w:hAnsi="Times New Roman" w:cs="Times New Roman"/>
            <w:sz w:val="28"/>
            <w:szCs w:val="28"/>
            <w:lang w:val="uk-UA" w:eastAsia="uk-UA"/>
          </w:rPr>
          <w:t xml:space="preserve"> </w:t>
        </w:r>
      </w:hyperlink>
    </w:p>
    <w:p w:rsidR="000E66DA" w:rsidRPr="000E66DA" w:rsidRDefault="000E66DA" w:rsidP="007F0872">
      <w:pPr>
        <w:shd w:val="clear" w:color="auto" w:fill="FFFFFF"/>
        <w:suppressAutoHyphens w:val="0"/>
        <w:spacing w:after="0" w:line="240" w:lineRule="auto"/>
        <w:ind w:right="15" w:firstLine="708"/>
        <w:jc w:val="both"/>
        <w:rPr>
          <w:rFonts w:ascii="Times New Roman" w:eastAsia="Times New Roman" w:hAnsi="Times New Roman" w:cs="Times New Roman"/>
          <w:sz w:val="28"/>
          <w:szCs w:val="28"/>
          <w:lang w:val="uk-UA" w:eastAsia="uk-UA"/>
        </w:rPr>
      </w:pPr>
      <w:r w:rsidRPr="000E66DA">
        <w:rPr>
          <w:rFonts w:ascii="Times New Roman" w:eastAsia="Times New Roman" w:hAnsi="Times New Roman" w:cs="Times New Roman"/>
          <w:sz w:val="28"/>
          <w:szCs w:val="28"/>
          <w:lang w:val="uk-UA" w:eastAsia="uk-UA"/>
        </w:rPr>
        <w:t xml:space="preserve">Моніторинг дотримання організаторами азартних ігор зазначених вимог до здійснення ними господарської діяльності відповідно до вимог статті 9 Закону здійснюватиметься з використанням Державної системи </w:t>
      </w:r>
      <w:proofErr w:type="spellStart"/>
      <w:r w:rsidRPr="000E66DA">
        <w:rPr>
          <w:rFonts w:ascii="Times New Roman" w:eastAsia="Times New Roman" w:hAnsi="Times New Roman" w:cs="Times New Roman"/>
          <w:sz w:val="28"/>
          <w:szCs w:val="28"/>
          <w:lang w:val="uk-UA" w:eastAsia="uk-UA"/>
        </w:rPr>
        <w:t>онлайн-моніторингу</w:t>
      </w:r>
      <w:proofErr w:type="spellEnd"/>
      <w:r w:rsidRPr="000E66DA">
        <w:rPr>
          <w:rFonts w:ascii="Times New Roman" w:eastAsia="Times New Roman" w:hAnsi="Times New Roman" w:cs="Times New Roman"/>
          <w:sz w:val="28"/>
          <w:szCs w:val="28"/>
          <w:lang w:val="uk-UA" w:eastAsia="uk-UA"/>
        </w:rPr>
        <w:t>.</w:t>
      </w:r>
    </w:p>
    <w:p w:rsidR="000E66DA" w:rsidRDefault="000E66DA" w:rsidP="007F0872">
      <w:pPr>
        <w:shd w:val="clear" w:color="auto" w:fill="FFFFFF"/>
        <w:suppressAutoHyphens w:val="0"/>
        <w:spacing w:after="0" w:line="240" w:lineRule="auto"/>
        <w:ind w:right="15" w:firstLine="708"/>
        <w:jc w:val="both"/>
        <w:rPr>
          <w:rFonts w:ascii="Times New Roman" w:hAnsi="Times New Roman" w:cs="Times New Roman"/>
          <w:sz w:val="28"/>
          <w:szCs w:val="28"/>
          <w:lang w:val="uk-UA"/>
        </w:rPr>
      </w:pPr>
      <w:r w:rsidRPr="000E66DA">
        <w:rPr>
          <w:rFonts w:ascii="Times New Roman" w:eastAsia="Times New Roman" w:hAnsi="Times New Roman" w:cs="Times New Roman"/>
          <w:sz w:val="28"/>
          <w:szCs w:val="28"/>
          <w:lang w:val="uk-UA" w:eastAsia="uk-UA"/>
        </w:rPr>
        <w:t xml:space="preserve">При цьому, порівняння даних, отриманих під час такого моніторингу з даними обов’язкової звітності </w:t>
      </w:r>
      <w:r w:rsidRPr="000E66DA">
        <w:rPr>
          <w:rFonts w:ascii="Times New Roman" w:hAnsi="Times New Roman" w:cs="Times New Roman"/>
          <w:sz w:val="28"/>
          <w:szCs w:val="28"/>
          <w:lang w:val="uk-UA"/>
        </w:rPr>
        <w:t>організаторів азартних ігор</w:t>
      </w:r>
      <w:r>
        <w:rPr>
          <w:rFonts w:ascii="Times New Roman" w:hAnsi="Times New Roman" w:cs="Times New Roman"/>
          <w:sz w:val="28"/>
          <w:szCs w:val="28"/>
          <w:lang w:val="uk-UA"/>
        </w:rPr>
        <w:t xml:space="preserve"> є вагомою складовою здійснення КРАІЛ державного нагляду (контролю) за ринком азартних ігор.</w:t>
      </w:r>
    </w:p>
    <w:p w:rsidR="000E66DA" w:rsidRPr="002B12AC" w:rsidRDefault="000E66DA" w:rsidP="007F0872">
      <w:pPr>
        <w:shd w:val="clear" w:color="auto" w:fill="FFFFFF"/>
        <w:suppressAutoHyphens w:val="0"/>
        <w:spacing w:after="0" w:line="240" w:lineRule="auto"/>
        <w:ind w:right="15" w:firstLine="708"/>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 xml:space="preserve">Так, згідно з вимогами </w:t>
      </w:r>
      <w:r w:rsidR="002B12AC">
        <w:rPr>
          <w:rFonts w:ascii="Times New Roman" w:hAnsi="Times New Roman" w:cs="Times New Roman"/>
          <w:sz w:val="28"/>
          <w:szCs w:val="28"/>
          <w:lang w:val="uk-UA"/>
        </w:rPr>
        <w:t xml:space="preserve">статті 10 Закону </w:t>
      </w:r>
      <w:r w:rsidR="002B12AC" w:rsidRPr="002B12AC">
        <w:rPr>
          <w:rFonts w:ascii="Times New Roman" w:hAnsi="Times New Roman" w:cs="Times New Roman"/>
          <w:sz w:val="28"/>
          <w:szCs w:val="28"/>
          <w:lang w:val="uk-UA"/>
        </w:rPr>
        <w:t xml:space="preserve">виявлення недостовірності даних, зазначених у документах обов’язкової звітності, поданих організатором азартних ігор, або у разі отримання таких даних через Державну систему </w:t>
      </w:r>
      <w:proofErr w:type="spellStart"/>
      <w:r w:rsidR="002B12AC" w:rsidRPr="002B12AC">
        <w:rPr>
          <w:rFonts w:ascii="Times New Roman" w:hAnsi="Times New Roman" w:cs="Times New Roman"/>
          <w:sz w:val="28"/>
          <w:szCs w:val="28"/>
          <w:lang w:val="uk-UA"/>
        </w:rPr>
        <w:t>онлайн-моніторингу</w:t>
      </w:r>
      <w:proofErr w:type="spellEnd"/>
      <w:r w:rsidR="002B12AC">
        <w:rPr>
          <w:rFonts w:ascii="Times New Roman" w:hAnsi="Times New Roman" w:cs="Times New Roman"/>
          <w:sz w:val="28"/>
          <w:szCs w:val="28"/>
          <w:lang w:val="uk-UA"/>
        </w:rPr>
        <w:t xml:space="preserve"> є підставою для проведення КРАІЛ позапланових перевірок </w:t>
      </w:r>
      <w:r w:rsidR="002B12AC" w:rsidRPr="000E66DA">
        <w:rPr>
          <w:rFonts w:ascii="Times New Roman" w:hAnsi="Times New Roman" w:cs="Times New Roman"/>
          <w:sz w:val="28"/>
          <w:szCs w:val="28"/>
          <w:lang w:val="uk-UA"/>
        </w:rPr>
        <w:t>організаторів азартних ігор</w:t>
      </w:r>
      <w:r w:rsidR="002B12AC">
        <w:rPr>
          <w:rFonts w:ascii="Times New Roman" w:hAnsi="Times New Roman" w:cs="Times New Roman"/>
          <w:sz w:val="28"/>
          <w:szCs w:val="28"/>
          <w:lang w:val="uk-UA"/>
        </w:rPr>
        <w:t>.</w:t>
      </w:r>
    </w:p>
    <w:p w:rsidR="002B12AC" w:rsidRDefault="00887471" w:rsidP="00887471">
      <w:pPr>
        <w:shd w:val="clear" w:color="auto" w:fill="FFFFFF"/>
        <w:suppressAutoHyphens w:val="0"/>
        <w:spacing w:after="0" w:line="240" w:lineRule="auto"/>
        <w:ind w:right="15" w:firstLine="708"/>
        <w:jc w:val="both"/>
        <w:rPr>
          <w:rFonts w:ascii="Times New Roman" w:eastAsia="Times New Roman" w:hAnsi="Times New Roman" w:cs="Times New Roman"/>
          <w:sz w:val="28"/>
          <w:szCs w:val="28"/>
          <w:lang w:val="uk-UA" w:eastAsia="uk-UA"/>
        </w:rPr>
      </w:pPr>
      <w:r w:rsidRPr="000E66DA">
        <w:rPr>
          <w:rFonts w:ascii="Times New Roman" w:eastAsia="Times New Roman" w:hAnsi="Times New Roman" w:cs="Times New Roman"/>
          <w:sz w:val="28"/>
          <w:szCs w:val="28"/>
          <w:lang w:val="uk-UA" w:eastAsia="uk-UA"/>
        </w:rPr>
        <w:t xml:space="preserve">Водночас на сьогодні, </w:t>
      </w:r>
      <w:r w:rsidR="002B12AC">
        <w:rPr>
          <w:rFonts w:ascii="Times New Roman" w:eastAsia="Times New Roman" w:hAnsi="Times New Roman" w:cs="Times New Roman"/>
          <w:sz w:val="28"/>
          <w:szCs w:val="28"/>
          <w:lang w:val="uk-UA" w:eastAsia="uk-UA"/>
        </w:rPr>
        <w:t xml:space="preserve">створення </w:t>
      </w:r>
      <w:r w:rsidR="002B12AC" w:rsidRPr="002B12AC">
        <w:rPr>
          <w:rFonts w:ascii="Times New Roman" w:eastAsia="Times New Roman" w:hAnsi="Times New Roman" w:cs="Times New Roman"/>
          <w:sz w:val="28"/>
          <w:szCs w:val="28"/>
          <w:lang w:val="uk-UA" w:eastAsia="uk-UA"/>
        </w:rPr>
        <w:t xml:space="preserve">Державної системи </w:t>
      </w:r>
      <w:proofErr w:type="spellStart"/>
      <w:r w:rsidR="002B12AC" w:rsidRPr="002B12AC">
        <w:rPr>
          <w:rFonts w:ascii="Times New Roman" w:eastAsia="Times New Roman" w:hAnsi="Times New Roman" w:cs="Times New Roman"/>
          <w:sz w:val="28"/>
          <w:szCs w:val="28"/>
          <w:lang w:val="uk-UA" w:eastAsia="uk-UA"/>
        </w:rPr>
        <w:t>онлайн-моніторингу</w:t>
      </w:r>
      <w:proofErr w:type="spellEnd"/>
      <w:r w:rsidR="002B12AC" w:rsidRPr="002B12AC">
        <w:rPr>
          <w:rFonts w:ascii="Times New Roman" w:eastAsia="Times New Roman" w:hAnsi="Times New Roman" w:cs="Times New Roman"/>
          <w:sz w:val="28"/>
          <w:szCs w:val="28"/>
          <w:lang w:val="uk-UA" w:eastAsia="uk-UA"/>
        </w:rPr>
        <w:t xml:space="preserve"> </w:t>
      </w:r>
      <w:r w:rsidR="002B12AC">
        <w:rPr>
          <w:rFonts w:ascii="Times New Roman" w:eastAsia="Times New Roman" w:hAnsi="Times New Roman" w:cs="Times New Roman"/>
          <w:sz w:val="28"/>
          <w:szCs w:val="28"/>
          <w:lang w:val="uk-UA" w:eastAsia="uk-UA"/>
        </w:rPr>
        <w:t xml:space="preserve">передбачено лише у </w:t>
      </w:r>
      <w:r w:rsidR="002B12AC" w:rsidRPr="002B12AC">
        <w:rPr>
          <w:rFonts w:ascii="Times New Roman" w:eastAsia="Times New Roman" w:hAnsi="Times New Roman" w:cs="Times New Roman"/>
          <w:sz w:val="28"/>
          <w:szCs w:val="28"/>
          <w:lang w:val="uk-UA" w:eastAsia="uk-UA"/>
        </w:rPr>
        <w:t xml:space="preserve">першому півріччі 2022 року у зв’язку з необхідністю затвердження Вимог до Державної системи </w:t>
      </w:r>
      <w:proofErr w:type="spellStart"/>
      <w:r w:rsidR="002B12AC" w:rsidRPr="002B12AC">
        <w:rPr>
          <w:rFonts w:ascii="Times New Roman" w:eastAsia="Times New Roman" w:hAnsi="Times New Roman" w:cs="Times New Roman"/>
          <w:sz w:val="28"/>
          <w:szCs w:val="28"/>
          <w:lang w:val="uk-UA" w:eastAsia="uk-UA"/>
        </w:rPr>
        <w:t>онлайн-моніторингу</w:t>
      </w:r>
      <w:proofErr w:type="spellEnd"/>
      <w:r w:rsidR="002B12AC" w:rsidRPr="002B12AC">
        <w:rPr>
          <w:rFonts w:ascii="Times New Roman" w:eastAsia="Times New Roman" w:hAnsi="Times New Roman" w:cs="Times New Roman"/>
          <w:sz w:val="28"/>
          <w:szCs w:val="28"/>
          <w:lang w:val="uk-UA" w:eastAsia="uk-UA"/>
        </w:rPr>
        <w:t xml:space="preserve"> та закінчення тендерних процедур, першим етапом як</w:t>
      </w:r>
      <w:r w:rsidR="002B12AC">
        <w:rPr>
          <w:rFonts w:ascii="Times New Roman" w:eastAsia="Times New Roman" w:hAnsi="Times New Roman" w:cs="Times New Roman"/>
          <w:sz w:val="28"/>
          <w:szCs w:val="28"/>
          <w:lang w:val="uk-UA" w:eastAsia="uk-UA"/>
        </w:rPr>
        <w:t>их</w:t>
      </w:r>
      <w:r w:rsidR="002B12AC" w:rsidRPr="002B12AC">
        <w:rPr>
          <w:rFonts w:ascii="Times New Roman" w:eastAsia="Times New Roman" w:hAnsi="Times New Roman" w:cs="Times New Roman"/>
          <w:sz w:val="28"/>
          <w:szCs w:val="28"/>
          <w:lang w:val="uk-UA" w:eastAsia="uk-UA"/>
        </w:rPr>
        <w:t xml:space="preserve"> передбачена розробка технічного завдання.</w:t>
      </w:r>
    </w:p>
    <w:p w:rsidR="002B12AC" w:rsidRDefault="002B12AC" w:rsidP="00887471">
      <w:pPr>
        <w:shd w:val="clear" w:color="auto" w:fill="FFFFFF"/>
        <w:suppressAutoHyphens w:val="0"/>
        <w:spacing w:after="0" w:line="240" w:lineRule="auto"/>
        <w:ind w:right="15"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Враховуючи зазначене, наразі єдиним джерелом даних щодо здійснення організаторами азартних ігор господарської діяльності з організації та проведення азартних ігор, дотримання ними вимог Закону та Ліцензійних умов залишається обов’язкова звітність.</w:t>
      </w:r>
    </w:p>
    <w:p w:rsidR="00426C00" w:rsidRPr="001703E1" w:rsidRDefault="00AC1B5F" w:rsidP="002B12AC">
      <w:pPr>
        <w:spacing w:after="0" w:line="20" w:lineRule="atLeast"/>
        <w:ind w:firstLine="720"/>
        <w:contextualSpacing/>
        <w:jc w:val="both"/>
        <w:rPr>
          <w:rFonts w:ascii="Times New Roman" w:hAnsi="Times New Roman" w:cs="Times New Roman"/>
          <w:sz w:val="28"/>
          <w:szCs w:val="28"/>
          <w:lang w:val="uk-UA" w:eastAsia="uk-UA"/>
        </w:rPr>
      </w:pPr>
      <w:r w:rsidRPr="001703E1">
        <w:rPr>
          <w:rFonts w:ascii="Times New Roman" w:hAnsi="Times New Roman" w:cs="Times New Roman"/>
          <w:sz w:val="28"/>
          <w:szCs w:val="28"/>
          <w:lang w:val="uk-UA" w:eastAsia="uk-UA"/>
        </w:rPr>
        <w:t>Станом на 01.</w:t>
      </w:r>
      <w:r w:rsidR="00D92BD5">
        <w:rPr>
          <w:rFonts w:ascii="Times New Roman" w:hAnsi="Times New Roman" w:cs="Times New Roman"/>
          <w:sz w:val="28"/>
          <w:szCs w:val="28"/>
          <w:lang w:val="uk-UA" w:eastAsia="uk-UA"/>
        </w:rPr>
        <w:t>01</w:t>
      </w:r>
      <w:r w:rsidRPr="001703E1">
        <w:rPr>
          <w:rFonts w:ascii="Times New Roman" w:hAnsi="Times New Roman" w:cs="Times New Roman"/>
          <w:sz w:val="28"/>
          <w:szCs w:val="28"/>
          <w:lang w:val="uk-UA" w:eastAsia="uk-UA"/>
        </w:rPr>
        <w:t>.202</w:t>
      </w:r>
      <w:r w:rsidR="00D92BD5">
        <w:rPr>
          <w:rFonts w:ascii="Times New Roman" w:hAnsi="Times New Roman" w:cs="Times New Roman"/>
          <w:sz w:val="28"/>
          <w:szCs w:val="28"/>
          <w:lang w:val="uk-UA" w:eastAsia="uk-UA"/>
        </w:rPr>
        <w:t>2</w:t>
      </w:r>
      <w:r w:rsidRPr="001703E1">
        <w:rPr>
          <w:rFonts w:ascii="Times New Roman" w:hAnsi="Times New Roman" w:cs="Times New Roman"/>
          <w:sz w:val="28"/>
          <w:szCs w:val="28"/>
          <w:lang w:val="uk-UA" w:eastAsia="uk-UA"/>
        </w:rPr>
        <w:t xml:space="preserve"> ліцензії на організацію та проведення азартних ігор </w:t>
      </w:r>
      <w:r w:rsidR="00426C00" w:rsidRPr="001703E1">
        <w:rPr>
          <w:rFonts w:ascii="Times New Roman" w:hAnsi="Times New Roman" w:cs="Times New Roman"/>
          <w:sz w:val="28"/>
          <w:szCs w:val="28"/>
          <w:lang w:val="uk-UA" w:eastAsia="uk-UA"/>
        </w:rPr>
        <w:t xml:space="preserve">отримали </w:t>
      </w:r>
      <w:r w:rsidR="008150F7">
        <w:rPr>
          <w:rFonts w:ascii="Times New Roman" w:hAnsi="Times New Roman" w:cs="Times New Roman"/>
          <w:sz w:val="28"/>
          <w:szCs w:val="28"/>
          <w:lang w:val="uk-UA" w:eastAsia="uk-UA"/>
        </w:rPr>
        <w:t>4</w:t>
      </w:r>
      <w:r w:rsidR="00D92BD5">
        <w:rPr>
          <w:rFonts w:ascii="Times New Roman" w:hAnsi="Times New Roman" w:cs="Times New Roman"/>
          <w:sz w:val="28"/>
          <w:szCs w:val="28"/>
          <w:lang w:val="uk-UA" w:eastAsia="uk-UA"/>
        </w:rPr>
        <w:t>4</w:t>
      </w:r>
      <w:r w:rsidR="00426C00" w:rsidRPr="001703E1">
        <w:rPr>
          <w:rFonts w:ascii="Times New Roman" w:hAnsi="Times New Roman" w:cs="Times New Roman"/>
          <w:sz w:val="28"/>
          <w:szCs w:val="28"/>
          <w:lang w:val="uk-UA" w:eastAsia="uk-UA"/>
        </w:rPr>
        <w:t xml:space="preserve"> </w:t>
      </w:r>
      <w:r w:rsidR="002B12AC" w:rsidRPr="001703E1">
        <w:rPr>
          <w:rFonts w:ascii="Times New Roman" w:hAnsi="Times New Roman" w:cs="Times New Roman"/>
          <w:sz w:val="28"/>
          <w:szCs w:val="28"/>
          <w:lang w:val="uk-UA" w:eastAsia="uk-UA"/>
        </w:rPr>
        <w:t>суб’єкт</w:t>
      </w:r>
      <w:r w:rsidR="00326148" w:rsidRPr="001703E1">
        <w:rPr>
          <w:rFonts w:ascii="Times New Roman" w:hAnsi="Times New Roman" w:cs="Times New Roman"/>
          <w:sz w:val="28"/>
          <w:szCs w:val="28"/>
          <w:lang w:val="uk-UA" w:eastAsia="uk-UA"/>
        </w:rPr>
        <w:t>а</w:t>
      </w:r>
      <w:r w:rsidR="002B12AC" w:rsidRPr="001703E1">
        <w:rPr>
          <w:rFonts w:ascii="Times New Roman" w:hAnsi="Times New Roman" w:cs="Times New Roman"/>
          <w:sz w:val="28"/>
          <w:szCs w:val="28"/>
          <w:lang w:val="uk-UA" w:eastAsia="uk-UA"/>
        </w:rPr>
        <w:t xml:space="preserve"> господарювання. </w:t>
      </w:r>
      <w:r w:rsidR="00426C00" w:rsidRPr="001703E1">
        <w:rPr>
          <w:rFonts w:ascii="Times New Roman" w:hAnsi="Times New Roman" w:cs="Times New Roman"/>
          <w:sz w:val="28"/>
          <w:szCs w:val="28"/>
          <w:lang w:val="uk-UA" w:eastAsia="uk-UA"/>
        </w:rPr>
        <w:t>З них:</w:t>
      </w:r>
    </w:p>
    <w:p w:rsidR="008150F7" w:rsidRPr="001703E1" w:rsidRDefault="00D92BD5" w:rsidP="008150F7">
      <w:pPr>
        <w:spacing w:after="0" w:line="20" w:lineRule="atLeast"/>
        <w:ind w:firstLine="720"/>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19</w:t>
      </w:r>
      <w:r w:rsidR="008150F7" w:rsidRPr="001703E1">
        <w:rPr>
          <w:rFonts w:ascii="Times New Roman" w:hAnsi="Times New Roman" w:cs="Times New Roman"/>
          <w:sz w:val="28"/>
          <w:szCs w:val="28"/>
          <w:lang w:val="uk-UA" w:eastAsia="uk-UA"/>
        </w:rPr>
        <w:t xml:space="preserve"> – на організацію та проведення азартних ігор у залах гральних автоматів; </w:t>
      </w:r>
    </w:p>
    <w:p w:rsidR="008150F7" w:rsidRPr="001703E1" w:rsidRDefault="008150F7" w:rsidP="008150F7">
      <w:pPr>
        <w:spacing w:after="0" w:line="20" w:lineRule="atLeast"/>
        <w:ind w:firstLine="720"/>
        <w:contextualSpacing/>
        <w:jc w:val="both"/>
        <w:rPr>
          <w:rFonts w:ascii="Times New Roman" w:hAnsi="Times New Roman" w:cs="Times New Roman"/>
          <w:sz w:val="28"/>
          <w:szCs w:val="28"/>
          <w:lang w:val="uk-UA" w:eastAsia="uk-UA"/>
        </w:rPr>
      </w:pPr>
      <w:r w:rsidRPr="001703E1">
        <w:rPr>
          <w:rFonts w:ascii="Times New Roman" w:hAnsi="Times New Roman" w:cs="Times New Roman"/>
          <w:sz w:val="28"/>
          <w:szCs w:val="28"/>
          <w:lang w:val="uk-UA" w:eastAsia="uk-UA"/>
        </w:rPr>
        <w:t xml:space="preserve">13 – на організацію та проведення азартних ігор казино в мережі Інтернет; </w:t>
      </w:r>
    </w:p>
    <w:p w:rsidR="00426C00" w:rsidRPr="001703E1" w:rsidRDefault="00426C00" w:rsidP="002B12AC">
      <w:pPr>
        <w:spacing w:after="0" w:line="20" w:lineRule="atLeast"/>
        <w:ind w:firstLine="720"/>
        <w:contextualSpacing/>
        <w:jc w:val="both"/>
        <w:rPr>
          <w:rFonts w:ascii="Times New Roman" w:hAnsi="Times New Roman" w:cs="Times New Roman"/>
          <w:sz w:val="28"/>
          <w:szCs w:val="28"/>
          <w:lang w:val="uk-UA" w:eastAsia="uk-UA"/>
        </w:rPr>
      </w:pPr>
      <w:r w:rsidRPr="001703E1">
        <w:rPr>
          <w:rFonts w:ascii="Times New Roman" w:hAnsi="Times New Roman" w:cs="Times New Roman"/>
          <w:sz w:val="28"/>
          <w:szCs w:val="28"/>
          <w:lang w:val="uk-UA" w:eastAsia="uk-UA"/>
        </w:rPr>
        <w:lastRenderedPageBreak/>
        <w:t>8 організаторів азартних ігор отримали ліцензію на організацію та проведення азартних ігор у гральних закладах казино;</w:t>
      </w:r>
      <w:r w:rsidR="002B12AC" w:rsidRPr="001703E1">
        <w:rPr>
          <w:rFonts w:ascii="Times New Roman" w:hAnsi="Times New Roman" w:cs="Times New Roman"/>
          <w:sz w:val="28"/>
          <w:szCs w:val="28"/>
          <w:lang w:val="uk-UA" w:eastAsia="uk-UA"/>
        </w:rPr>
        <w:t xml:space="preserve"> </w:t>
      </w:r>
    </w:p>
    <w:p w:rsidR="008150F7" w:rsidRPr="000E66DA" w:rsidRDefault="008150F7" w:rsidP="008150F7">
      <w:pPr>
        <w:spacing w:after="0" w:line="20" w:lineRule="atLeast"/>
        <w:ind w:firstLine="720"/>
        <w:contextualSpacing/>
        <w:jc w:val="both"/>
        <w:rPr>
          <w:rFonts w:ascii="Times New Roman" w:hAnsi="Times New Roman" w:cs="Times New Roman"/>
          <w:sz w:val="28"/>
          <w:szCs w:val="28"/>
          <w:lang w:val="uk-UA" w:eastAsia="uk-UA"/>
        </w:rPr>
      </w:pPr>
      <w:r w:rsidRPr="001703E1">
        <w:rPr>
          <w:rFonts w:ascii="Times New Roman" w:hAnsi="Times New Roman" w:cs="Times New Roman"/>
          <w:sz w:val="28"/>
          <w:szCs w:val="28"/>
          <w:lang w:val="uk-UA" w:eastAsia="uk-UA"/>
        </w:rPr>
        <w:t>3 – на організацію та проведення азартних ігор в покер в мережі Інтернет</w:t>
      </w:r>
      <w:r>
        <w:rPr>
          <w:rFonts w:ascii="Times New Roman" w:hAnsi="Times New Roman" w:cs="Times New Roman"/>
          <w:sz w:val="28"/>
          <w:szCs w:val="28"/>
          <w:lang w:val="uk-UA" w:eastAsia="uk-UA"/>
        </w:rPr>
        <w:t>;</w:t>
      </w:r>
    </w:p>
    <w:p w:rsidR="00426C00" w:rsidRPr="001703E1" w:rsidRDefault="00426C00" w:rsidP="002B12AC">
      <w:pPr>
        <w:spacing w:after="0" w:line="20" w:lineRule="atLeast"/>
        <w:ind w:firstLine="720"/>
        <w:contextualSpacing/>
        <w:jc w:val="both"/>
        <w:rPr>
          <w:rFonts w:ascii="Times New Roman" w:hAnsi="Times New Roman" w:cs="Times New Roman"/>
          <w:sz w:val="28"/>
          <w:szCs w:val="28"/>
          <w:lang w:val="uk-UA" w:eastAsia="uk-UA"/>
        </w:rPr>
      </w:pPr>
      <w:r w:rsidRPr="001703E1">
        <w:rPr>
          <w:rFonts w:ascii="Times New Roman" w:hAnsi="Times New Roman" w:cs="Times New Roman"/>
          <w:sz w:val="28"/>
          <w:szCs w:val="28"/>
          <w:lang w:val="uk-UA" w:eastAsia="uk-UA"/>
        </w:rPr>
        <w:t>1 – на організацію та проведення букмекерської діяльності в букмекерських пунктах та в мережі Інтернет</w:t>
      </w:r>
      <w:r w:rsidR="008150F7">
        <w:rPr>
          <w:rFonts w:ascii="Times New Roman" w:hAnsi="Times New Roman" w:cs="Times New Roman"/>
          <w:sz w:val="28"/>
          <w:szCs w:val="28"/>
          <w:lang w:val="uk-UA" w:eastAsia="uk-UA"/>
        </w:rPr>
        <w:t>.</w:t>
      </w:r>
      <w:r w:rsidR="002B12AC" w:rsidRPr="001703E1">
        <w:rPr>
          <w:rFonts w:ascii="Times New Roman" w:hAnsi="Times New Roman" w:cs="Times New Roman"/>
          <w:sz w:val="28"/>
          <w:szCs w:val="28"/>
          <w:lang w:val="uk-UA" w:eastAsia="uk-UA"/>
        </w:rPr>
        <w:t xml:space="preserve"> </w:t>
      </w:r>
    </w:p>
    <w:p w:rsidR="006014D0" w:rsidRDefault="00426C00" w:rsidP="006014D0">
      <w:pPr>
        <w:spacing w:after="0" w:line="20" w:lineRule="atLeast"/>
        <w:ind w:firstLine="708"/>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Д</w:t>
      </w:r>
      <w:r w:rsidR="006014D0" w:rsidRPr="000E66DA">
        <w:rPr>
          <w:rFonts w:ascii="Times New Roman" w:hAnsi="Times New Roman" w:cs="Times New Roman"/>
          <w:sz w:val="28"/>
          <w:szCs w:val="28"/>
          <w:lang w:val="uk-UA" w:eastAsia="uk-UA"/>
        </w:rPr>
        <w:t xml:space="preserve">ля реалізації </w:t>
      </w:r>
      <w:r>
        <w:rPr>
          <w:rFonts w:ascii="Times New Roman" w:hAnsi="Times New Roman" w:cs="Times New Roman"/>
          <w:sz w:val="28"/>
          <w:szCs w:val="28"/>
          <w:lang w:val="uk-UA" w:eastAsia="uk-UA"/>
        </w:rPr>
        <w:t>КРАІЛ</w:t>
      </w:r>
      <w:r w:rsidR="006014D0" w:rsidRPr="000E66DA">
        <w:rPr>
          <w:rFonts w:ascii="Times New Roman" w:hAnsi="Times New Roman" w:cs="Times New Roman"/>
          <w:sz w:val="28"/>
          <w:szCs w:val="28"/>
          <w:lang w:val="uk-UA" w:eastAsia="uk-UA"/>
        </w:rPr>
        <w:t xml:space="preserve"> повноважень</w:t>
      </w:r>
      <w:r>
        <w:rPr>
          <w:rFonts w:ascii="Times New Roman" w:hAnsi="Times New Roman" w:cs="Times New Roman"/>
          <w:sz w:val="28"/>
          <w:szCs w:val="28"/>
          <w:lang w:val="uk-UA" w:eastAsia="uk-UA"/>
        </w:rPr>
        <w:t xml:space="preserve"> щодо здійснення державного нагляду (контролю) за діяльністю організаторів </w:t>
      </w:r>
      <w:r w:rsidRPr="000E66DA">
        <w:rPr>
          <w:rFonts w:ascii="Times New Roman" w:hAnsi="Times New Roman" w:cs="Times New Roman"/>
          <w:sz w:val="28"/>
          <w:szCs w:val="28"/>
          <w:lang w:val="uk-UA" w:eastAsia="uk-UA"/>
        </w:rPr>
        <w:t>азартних ігор</w:t>
      </w:r>
      <w:r w:rsidR="006014D0" w:rsidRPr="000E66DA">
        <w:rPr>
          <w:rFonts w:ascii="Times New Roman" w:hAnsi="Times New Roman" w:cs="Times New Roman"/>
          <w:sz w:val="28"/>
          <w:szCs w:val="28"/>
          <w:lang w:val="uk-UA" w:eastAsia="uk-UA"/>
        </w:rPr>
        <w:t xml:space="preserve">, а також для  підтвердження здійснення </w:t>
      </w:r>
      <w:r>
        <w:rPr>
          <w:rFonts w:ascii="Times New Roman" w:hAnsi="Times New Roman" w:cs="Times New Roman"/>
          <w:sz w:val="28"/>
          <w:szCs w:val="28"/>
          <w:lang w:val="uk-UA" w:eastAsia="uk-UA"/>
        </w:rPr>
        <w:t>ни</w:t>
      </w:r>
      <w:r w:rsidR="006014D0" w:rsidRPr="000E66DA">
        <w:rPr>
          <w:rFonts w:ascii="Times New Roman" w:hAnsi="Times New Roman" w:cs="Times New Roman"/>
          <w:sz w:val="28"/>
          <w:szCs w:val="28"/>
          <w:lang w:val="uk-UA" w:eastAsia="uk-UA"/>
        </w:rPr>
        <w:t>ми діяльності з дотриманням вимог законодавства, КРАІЛ необхідно володіти повною, достовірною та актуальною інформацією щодо</w:t>
      </w:r>
      <w:r>
        <w:rPr>
          <w:rFonts w:ascii="Times New Roman" w:hAnsi="Times New Roman" w:cs="Times New Roman"/>
          <w:sz w:val="28"/>
          <w:szCs w:val="28"/>
          <w:lang w:val="uk-UA" w:eastAsia="uk-UA"/>
        </w:rPr>
        <w:t xml:space="preserve"> </w:t>
      </w:r>
      <w:r w:rsidR="00676E69">
        <w:rPr>
          <w:rFonts w:ascii="Times New Roman" w:hAnsi="Times New Roman" w:cs="Times New Roman"/>
          <w:sz w:val="28"/>
          <w:szCs w:val="28"/>
          <w:lang w:val="uk-UA" w:eastAsia="uk-UA"/>
        </w:rPr>
        <w:t>основних, в тому числі економічних</w:t>
      </w:r>
      <w:r w:rsidR="006014D0" w:rsidRPr="000E66DA">
        <w:rPr>
          <w:rFonts w:ascii="Times New Roman" w:hAnsi="Times New Roman" w:cs="Times New Roman"/>
          <w:sz w:val="28"/>
          <w:szCs w:val="28"/>
          <w:lang w:val="uk-UA" w:eastAsia="uk-UA"/>
        </w:rPr>
        <w:t xml:space="preserve"> показників діяльності суб’єктів господарювання у сфері організації та проведення азартних ігор.</w:t>
      </w:r>
    </w:p>
    <w:p w:rsidR="00676E69" w:rsidRDefault="00CA0AC4" w:rsidP="006014D0">
      <w:pPr>
        <w:spacing w:after="0" w:line="20" w:lineRule="atLeast"/>
        <w:ind w:firstLine="708"/>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Практика засвідчила, що звернення до організаторів азартних ігор із запитами щодо надання зазначеної інформації виявилося малоефективним. Так, за запитом КРАІЛ щодо надання інформації про кількість гравців, розмір </w:t>
      </w:r>
      <w:r w:rsidRPr="000E66DA">
        <w:rPr>
          <w:rFonts w:ascii="Times New Roman" w:hAnsi="Times New Roman" w:cs="Times New Roman"/>
          <w:sz w:val="28"/>
          <w:szCs w:val="28"/>
          <w:lang w:val="uk-UA" w:eastAsia="uk-UA"/>
        </w:rPr>
        <w:t>кошт</w:t>
      </w:r>
      <w:r>
        <w:rPr>
          <w:rFonts w:ascii="Times New Roman" w:hAnsi="Times New Roman" w:cs="Times New Roman"/>
          <w:sz w:val="28"/>
          <w:szCs w:val="28"/>
          <w:lang w:val="uk-UA" w:eastAsia="uk-UA"/>
        </w:rPr>
        <w:t>ів</w:t>
      </w:r>
      <w:r w:rsidRPr="000E66DA">
        <w:rPr>
          <w:rFonts w:ascii="Times New Roman" w:hAnsi="Times New Roman" w:cs="Times New Roman"/>
          <w:sz w:val="28"/>
          <w:szCs w:val="28"/>
          <w:lang w:val="uk-UA" w:eastAsia="uk-UA"/>
        </w:rPr>
        <w:t>, що надійшли як прийняті ставки, виплачені виграші (призи),</w:t>
      </w:r>
      <w:r>
        <w:rPr>
          <w:rFonts w:ascii="Times New Roman" w:hAnsi="Times New Roman" w:cs="Times New Roman"/>
          <w:sz w:val="28"/>
          <w:szCs w:val="28"/>
          <w:lang w:val="uk-UA" w:eastAsia="uk-UA"/>
        </w:rPr>
        <w:t xml:space="preserve"> сплачені податки тощо лише 2 організатори азартних ігор з 25, до яких було направлено запит, надали запитувані дані у повному обсязі. 9 організаторів азартних ігор надали запитувану інформацію лише частково</w:t>
      </w:r>
      <w:r w:rsidR="001F0BA9">
        <w:rPr>
          <w:rFonts w:ascii="Times New Roman" w:hAnsi="Times New Roman" w:cs="Times New Roman"/>
          <w:sz w:val="28"/>
          <w:szCs w:val="28"/>
          <w:lang w:val="uk-UA" w:eastAsia="uk-UA"/>
        </w:rPr>
        <w:t>. Від інших організаторів азартних ігор інформації, що стосувалася предмету запиту, не отримано.</w:t>
      </w:r>
    </w:p>
    <w:p w:rsidR="001F0BA9" w:rsidRPr="000E66DA" w:rsidRDefault="001F0BA9" w:rsidP="006014D0">
      <w:pPr>
        <w:spacing w:after="0" w:line="20" w:lineRule="atLeast"/>
        <w:ind w:firstLine="708"/>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Зазначене доводить, що за відсутності затверджених форм звітності та порядку подання такої звітності надання організаторами азартних ігор інформацію про здійснення ними діяльності у сфері організації та проведення азартних ігор залежить від їх корпоративно-соціальної відповідальності.</w:t>
      </w:r>
    </w:p>
    <w:p w:rsidR="00D73296" w:rsidRPr="000E66DA" w:rsidRDefault="00D73296" w:rsidP="00D73296">
      <w:pPr>
        <w:spacing w:after="0" w:line="20" w:lineRule="atLeast"/>
        <w:ind w:firstLine="708"/>
        <w:contextualSpacing/>
        <w:jc w:val="both"/>
        <w:rPr>
          <w:rFonts w:ascii="Times New Roman" w:hAnsi="Times New Roman" w:cs="Times New Roman"/>
          <w:color w:val="000000"/>
          <w:sz w:val="28"/>
          <w:szCs w:val="28"/>
          <w:lang w:val="uk-UA"/>
        </w:rPr>
      </w:pPr>
      <w:r>
        <w:rPr>
          <w:rFonts w:ascii="Times New Roman" w:hAnsi="Times New Roman" w:cs="Times New Roman"/>
          <w:sz w:val="28"/>
          <w:szCs w:val="28"/>
          <w:lang w:val="uk-UA" w:eastAsia="uk-UA"/>
        </w:rPr>
        <w:t>Прийняття п</w:t>
      </w:r>
      <w:r w:rsidRPr="000E66DA">
        <w:rPr>
          <w:rFonts w:ascii="Times New Roman" w:hAnsi="Times New Roman" w:cs="Times New Roman"/>
          <w:sz w:val="28"/>
          <w:szCs w:val="28"/>
          <w:lang w:val="uk-UA" w:eastAsia="uk-UA"/>
        </w:rPr>
        <w:t>роєкт</w:t>
      </w:r>
      <w:r>
        <w:rPr>
          <w:rFonts w:ascii="Times New Roman" w:hAnsi="Times New Roman" w:cs="Times New Roman"/>
          <w:sz w:val="28"/>
          <w:szCs w:val="28"/>
          <w:lang w:val="uk-UA" w:eastAsia="uk-UA"/>
        </w:rPr>
        <w:t>у</w:t>
      </w:r>
      <w:r w:rsidRPr="000E66DA">
        <w:rPr>
          <w:rFonts w:ascii="Times New Roman" w:hAnsi="Times New Roman" w:cs="Times New Roman"/>
          <w:sz w:val="28"/>
          <w:szCs w:val="28"/>
          <w:lang w:val="uk-UA" w:eastAsia="uk-UA"/>
        </w:rPr>
        <w:t xml:space="preserve"> рішення</w:t>
      </w:r>
      <w:r>
        <w:rPr>
          <w:rFonts w:ascii="Times New Roman" w:hAnsi="Times New Roman" w:cs="Times New Roman"/>
          <w:sz w:val="28"/>
          <w:szCs w:val="28"/>
          <w:lang w:val="uk-UA" w:eastAsia="uk-UA"/>
        </w:rPr>
        <w:t>, що</w:t>
      </w:r>
      <w:r w:rsidRPr="000E66DA">
        <w:rPr>
          <w:rFonts w:ascii="Times New Roman" w:hAnsi="Times New Roman" w:cs="Times New Roman"/>
          <w:sz w:val="28"/>
          <w:szCs w:val="28"/>
          <w:lang w:val="uk-UA" w:eastAsia="uk-UA"/>
        </w:rPr>
        <w:t xml:space="preserve"> встановлює </w:t>
      </w:r>
      <w:r>
        <w:rPr>
          <w:rFonts w:ascii="Times New Roman" w:hAnsi="Times New Roman" w:cs="Times New Roman"/>
          <w:sz w:val="28"/>
          <w:szCs w:val="28"/>
          <w:lang w:val="uk-UA" w:eastAsia="uk-UA"/>
        </w:rPr>
        <w:t xml:space="preserve">чітку </w:t>
      </w:r>
      <w:r w:rsidRPr="000E66DA">
        <w:rPr>
          <w:rFonts w:ascii="Times New Roman" w:hAnsi="Times New Roman" w:cs="Times New Roman"/>
          <w:sz w:val="28"/>
          <w:szCs w:val="28"/>
          <w:lang w:val="uk-UA" w:eastAsia="uk-UA"/>
        </w:rPr>
        <w:t xml:space="preserve">процедуру подання звітності організаторами азартних ігор, </w:t>
      </w:r>
      <w:r w:rsidRPr="000E66DA">
        <w:rPr>
          <w:rFonts w:ascii="Times New Roman" w:hAnsi="Times New Roman" w:cs="Times New Roman"/>
          <w:sz w:val="28"/>
          <w:szCs w:val="28"/>
          <w:lang w:val="uk-UA"/>
        </w:rPr>
        <w:t xml:space="preserve">стимулюватиме </w:t>
      </w:r>
      <w:r>
        <w:rPr>
          <w:rFonts w:ascii="Times New Roman" w:hAnsi="Times New Roman" w:cs="Times New Roman"/>
          <w:sz w:val="28"/>
          <w:szCs w:val="28"/>
          <w:lang w:val="uk-UA"/>
        </w:rPr>
        <w:t>їх</w:t>
      </w:r>
      <w:r w:rsidRPr="000E66DA">
        <w:rPr>
          <w:rFonts w:ascii="Times New Roman" w:hAnsi="Times New Roman" w:cs="Times New Roman"/>
          <w:sz w:val="28"/>
          <w:szCs w:val="28"/>
          <w:lang w:val="uk-UA"/>
        </w:rPr>
        <w:t xml:space="preserve"> </w:t>
      </w:r>
      <w:r w:rsidRPr="000E66DA">
        <w:rPr>
          <w:rFonts w:ascii="Times New Roman" w:hAnsi="Times New Roman" w:cs="Times New Roman"/>
          <w:color w:val="000000"/>
          <w:sz w:val="28"/>
          <w:szCs w:val="28"/>
          <w:lang w:val="uk-UA"/>
        </w:rPr>
        <w:t>до ведення прозорої діяльності, а також підвищить їх відповідальність щодо дотримання вимог законодавства у сфері азартних ігор.</w:t>
      </w:r>
    </w:p>
    <w:p w:rsidR="00426C00" w:rsidRPr="000E66DA" w:rsidRDefault="00D73296" w:rsidP="00426C00">
      <w:pPr>
        <w:shd w:val="clear" w:color="auto" w:fill="FFFFFF"/>
        <w:suppressAutoHyphens w:val="0"/>
        <w:spacing w:after="0" w:line="240" w:lineRule="auto"/>
        <w:ind w:right="15" w:firstLine="708"/>
        <w:jc w:val="both"/>
        <w:rPr>
          <w:rFonts w:ascii="Times New Roman" w:eastAsia="Times New Roman" w:hAnsi="Times New Roman" w:cs="Times New Roman"/>
          <w:sz w:val="28"/>
          <w:szCs w:val="28"/>
          <w:lang w:val="uk-UA" w:eastAsia="uk-UA"/>
        </w:rPr>
      </w:pPr>
      <w:r w:rsidRPr="000E66DA">
        <w:rPr>
          <w:rFonts w:ascii="Times New Roman" w:hAnsi="Times New Roman" w:cs="Times New Roman"/>
          <w:sz w:val="28"/>
          <w:szCs w:val="28"/>
          <w:lang w:val="uk-UA"/>
        </w:rPr>
        <w:t xml:space="preserve">У свою чергу, </w:t>
      </w:r>
      <w:r>
        <w:rPr>
          <w:rFonts w:ascii="Times New Roman" w:hAnsi="Times New Roman" w:cs="Times New Roman"/>
          <w:sz w:val="28"/>
          <w:szCs w:val="28"/>
          <w:lang w:val="uk-UA"/>
        </w:rPr>
        <w:t>о</w:t>
      </w:r>
      <w:r w:rsidR="00426C00" w:rsidRPr="000E66DA">
        <w:rPr>
          <w:rFonts w:ascii="Times New Roman" w:eastAsia="Times New Roman" w:hAnsi="Times New Roman" w:cs="Times New Roman"/>
          <w:sz w:val="28"/>
          <w:szCs w:val="28"/>
          <w:lang w:val="uk-UA" w:eastAsia="uk-UA"/>
        </w:rPr>
        <w:t xml:space="preserve">тримання </w:t>
      </w:r>
      <w:r w:rsidRPr="000E66DA">
        <w:rPr>
          <w:rFonts w:ascii="Times New Roman" w:hAnsi="Times New Roman" w:cs="Times New Roman"/>
          <w:sz w:val="28"/>
          <w:szCs w:val="28"/>
          <w:lang w:val="uk-UA"/>
        </w:rPr>
        <w:t xml:space="preserve">КРАІЛ </w:t>
      </w:r>
      <w:r w:rsidR="00426C00" w:rsidRPr="000E66DA">
        <w:rPr>
          <w:rFonts w:ascii="Times New Roman" w:eastAsia="Times New Roman" w:hAnsi="Times New Roman" w:cs="Times New Roman"/>
          <w:sz w:val="28"/>
          <w:szCs w:val="28"/>
          <w:lang w:val="uk-UA" w:eastAsia="uk-UA"/>
        </w:rPr>
        <w:t>такої інформації на постійній основі у вигляді відповідних щоквартальних звітів організаторів азартних ігор фактично буде підтвердженням здійснення діяльності такими суб’єктами, а також слугуватиме джерелом даних для оцінки стану розвитку сфери азартних ігор.</w:t>
      </w:r>
    </w:p>
    <w:p w:rsidR="00EA386E" w:rsidRPr="000E66DA" w:rsidRDefault="00D73296" w:rsidP="00EA386E">
      <w:pPr>
        <w:tabs>
          <w:tab w:val="left" w:pos="993"/>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КРАІЛ </w:t>
      </w:r>
      <w:r w:rsidR="00EA386E" w:rsidRPr="000E66DA">
        <w:rPr>
          <w:rFonts w:ascii="Times New Roman" w:hAnsi="Times New Roman" w:cs="Times New Roman"/>
          <w:sz w:val="28"/>
          <w:szCs w:val="28"/>
          <w:lang w:val="uk-UA"/>
        </w:rPr>
        <w:t>матиме можливість проаналізувати надану організаторами азартних ігор інформацію на предмет відповідності їх діяльності встановленим законодавством вимогам</w:t>
      </w:r>
      <w:r w:rsidR="00EA386E" w:rsidRPr="000E66DA">
        <w:rPr>
          <w:rFonts w:ascii="Times New Roman" w:hAnsi="Times New Roman" w:cs="Times New Roman"/>
          <w:sz w:val="28"/>
          <w:szCs w:val="28"/>
          <w:shd w:val="clear" w:color="auto" w:fill="FFFFFF"/>
          <w:lang w:val="uk-UA"/>
        </w:rPr>
        <w:t xml:space="preserve">. </w:t>
      </w:r>
      <w:r w:rsidR="00EA386E" w:rsidRPr="000E66DA">
        <w:rPr>
          <w:rFonts w:ascii="Times New Roman" w:hAnsi="Times New Roman" w:cs="Times New Roman"/>
          <w:sz w:val="28"/>
          <w:szCs w:val="28"/>
          <w:lang w:val="uk-UA"/>
        </w:rPr>
        <w:t xml:space="preserve">Для КРАІЛ така інформація слугуватиме також </w:t>
      </w:r>
      <w:r w:rsidR="002A2FBD" w:rsidRPr="000E66DA">
        <w:rPr>
          <w:rFonts w:ascii="Times New Roman" w:hAnsi="Times New Roman" w:cs="Times New Roman"/>
          <w:sz w:val="28"/>
          <w:szCs w:val="28"/>
          <w:lang w:val="uk-UA"/>
        </w:rPr>
        <w:t>джерелом даних для аналізу ринку азартних ігор</w:t>
      </w:r>
      <w:r w:rsidR="00EA386E" w:rsidRPr="000E66DA">
        <w:rPr>
          <w:rFonts w:ascii="Times New Roman" w:hAnsi="Times New Roman" w:cs="Times New Roman"/>
          <w:sz w:val="28"/>
          <w:szCs w:val="28"/>
          <w:lang w:val="uk-UA"/>
        </w:rPr>
        <w:t xml:space="preserve">. </w:t>
      </w:r>
    </w:p>
    <w:p w:rsidR="003426CB" w:rsidRPr="000E66DA" w:rsidRDefault="003426CB" w:rsidP="003426CB">
      <w:pPr>
        <w:tabs>
          <w:tab w:val="left" w:pos="993"/>
        </w:tabs>
        <w:spacing w:after="0" w:line="240" w:lineRule="auto"/>
        <w:ind w:firstLine="709"/>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 xml:space="preserve">В комплексі з </w:t>
      </w:r>
      <w:r w:rsidR="00CF00DE" w:rsidRPr="000E66DA">
        <w:rPr>
          <w:rFonts w:ascii="Times New Roman" w:hAnsi="Times New Roman" w:cs="Times New Roman"/>
          <w:sz w:val="28"/>
          <w:szCs w:val="28"/>
          <w:lang w:val="uk-UA"/>
        </w:rPr>
        <w:t>іншими нормативно-правовими актами у сфері організації та проведення азартних ігор</w:t>
      </w:r>
      <w:r w:rsidRPr="000E66DA">
        <w:rPr>
          <w:rFonts w:ascii="Times New Roman" w:hAnsi="Times New Roman" w:cs="Times New Roman"/>
          <w:sz w:val="28"/>
          <w:szCs w:val="28"/>
          <w:lang w:val="uk-UA"/>
        </w:rPr>
        <w:t xml:space="preserve"> це сприятиме зміцненню позицій</w:t>
      </w:r>
      <w:r w:rsidR="00CF00DE" w:rsidRPr="000E66DA">
        <w:rPr>
          <w:rFonts w:ascii="Times New Roman" w:hAnsi="Times New Roman" w:cs="Times New Roman"/>
          <w:sz w:val="28"/>
          <w:szCs w:val="28"/>
          <w:lang w:val="uk-UA"/>
        </w:rPr>
        <w:t xml:space="preserve"> </w:t>
      </w:r>
      <w:r w:rsidRPr="000E66DA">
        <w:rPr>
          <w:rFonts w:ascii="Times New Roman" w:hAnsi="Times New Roman" w:cs="Times New Roman"/>
          <w:sz w:val="28"/>
          <w:szCs w:val="28"/>
          <w:lang w:val="uk-UA"/>
        </w:rPr>
        <w:t>України на міжнародному органічному ринку як країни із законодавчо</w:t>
      </w:r>
      <w:r w:rsidR="00CF00DE" w:rsidRPr="000E66DA">
        <w:rPr>
          <w:rFonts w:ascii="Times New Roman" w:hAnsi="Times New Roman" w:cs="Times New Roman"/>
          <w:sz w:val="28"/>
          <w:szCs w:val="28"/>
          <w:lang w:val="uk-UA"/>
        </w:rPr>
        <w:t xml:space="preserve"> </w:t>
      </w:r>
      <w:r w:rsidRPr="000E66DA">
        <w:rPr>
          <w:rFonts w:ascii="Times New Roman" w:hAnsi="Times New Roman" w:cs="Times New Roman"/>
          <w:sz w:val="28"/>
          <w:szCs w:val="28"/>
          <w:lang w:val="uk-UA"/>
        </w:rPr>
        <w:t>врегульованою сферою органічного виробництва.</w:t>
      </w:r>
    </w:p>
    <w:p w:rsidR="007253E6" w:rsidRPr="0018789A" w:rsidRDefault="007253E6" w:rsidP="007253E6">
      <w:pPr>
        <w:spacing w:after="0" w:line="20" w:lineRule="atLeast"/>
        <w:ind w:firstLine="720"/>
        <w:contextualSpacing/>
        <w:jc w:val="both"/>
        <w:rPr>
          <w:rFonts w:ascii="Times New Roman" w:hAnsi="Times New Roman" w:cs="Times New Roman"/>
          <w:sz w:val="28"/>
          <w:szCs w:val="28"/>
          <w:lang w:val="uk-UA"/>
        </w:rPr>
      </w:pPr>
    </w:p>
    <w:p w:rsidR="007253E6" w:rsidRPr="000E66DA" w:rsidRDefault="007253E6" w:rsidP="007253E6">
      <w:pPr>
        <w:pStyle w:val="rvps2"/>
        <w:shd w:val="clear" w:color="auto" w:fill="FFFFFF"/>
        <w:tabs>
          <w:tab w:val="left" w:pos="5790"/>
        </w:tabs>
        <w:spacing w:before="0" w:after="0" w:line="20" w:lineRule="atLeast"/>
        <w:ind w:firstLine="450"/>
        <w:contextualSpacing/>
        <w:jc w:val="both"/>
        <w:rPr>
          <w:sz w:val="28"/>
          <w:szCs w:val="28"/>
          <w:lang w:eastAsia="ru-RU"/>
        </w:rPr>
      </w:pPr>
      <w:r w:rsidRPr="000E66DA">
        <w:rPr>
          <w:sz w:val="28"/>
          <w:szCs w:val="28"/>
          <w:lang w:eastAsia="ru-RU"/>
        </w:rPr>
        <w:t xml:space="preserve"> Основні групи, на які справлятиме вплив проєкт </w:t>
      </w:r>
      <w:r w:rsidR="00EA386E" w:rsidRPr="000E66DA">
        <w:rPr>
          <w:sz w:val="28"/>
          <w:szCs w:val="28"/>
          <w:lang w:eastAsia="ru-RU"/>
        </w:rPr>
        <w:t>рішення</w:t>
      </w:r>
      <w:r w:rsidRPr="000E66DA">
        <w:rPr>
          <w:sz w:val="28"/>
          <w:szCs w:val="28"/>
          <w:lang w:eastAsia="ru-RU"/>
        </w:rPr>
        <w:t xml:space="preserve">: </w:t>
      </w:r>
    </w:p>
    <w:p w:rsidR="007253E6" w:rsidRPr="000E66DA" w:rsidRDefault="007253E6" w:rsidP="007253E6">
      <w:pPr>
        <w:pStyle w:val="rvps2"/>
        <w:shd w:val="clear" w:color="auto" w:fill="FFFFFF"/>
        <w:tabs>
          <w:tab w:val="left" w:pos="5790"/>
        </w:tabs>
        <w:spacing w:before="0" w:after="0" w:line="20" w:lineRule="atLeast"/>
        <w:ind w:firstLine="450"/>
        <w:contextualSpacing/>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392"/>
        <w:gridCol w:w="2833"/>
        <w:gridCol w:w="2443"/>
      </w:tblGrid>
      <w:tr w:rsidR="007253E6" w:rsidRPr="000E66DA" w:rsidTr="00623B32">
        <w:tc>
          <w:tcPr>
            <w:tcW w:w="4580" w:type="dxa"/>
            <w:shd w:val="clear" w:color="auto" w:fill="auto"/>
          </w:tcPr>
          <w:p w:rsidR="007253E6" w:rsidRPr="000E66DA" w:rsidRDefault="007253E6" w:rsidP="00623B32">
            <w:pPr>
              <w:spacing w:after="0" w:line="20" w:lineRule="atLeast"/>
              <w:contextualSpacing/>
              <w:jc w:val="center"/>
              <w:rPr>
                <w:rFonts w:ascii="Times New Roman" w:hAnsi="Times New Roman" w:cs="Times New Roman"/>
                <w:b/>
                <w:sz w:val="28"/>
                <w:szCs w:val="28"/>
                <w:lang w:val="uk-UA"/>
              </w:rPr>
            </w:pPr>
            <w:bookmarkStart w:id="10" w:name="n95"/>
            <w:bookmarkEnd w:id="10"/>
            <w:r w:rsidRPr="000E66DA">
              <w:rPr>
                <w:rFonts w:ascii="Times New Roman" w:hAnsi="Times New Roman" w:cs="Times New Roman"/>
                <w:b/>
                <w:sz w:val="28"/>
                <w:szCs w:val="28"/>
                <w:lang w:val="uk-UA" w:eastAsia="uk-UA"/>
              </w:rPr>
              <w:lastRenderedPageBreak/>
              <w:t>Групи (підгрупи)</w:t>
            </w:r>
          </w:p>
        </w:tc>
        <w:tc>
          <w:tcPr>
            <w:tcW w:w="2953" w:type="dxa"/>
            <w:shd w:val="clear" w:color="auto" w:fill="auto"/>
          </w:tcPr>
          <w:p w:rsidR="007253E6" w:rsidRPr="000E66DA" w:rsidRDefault="007253E6" w:rsidP="00623B32">
            <w:pPr>
              <w:spacing w:after="0" w:line="20" w:lineRule="atLeast"/>
              <w:contextualSpacing/>
              <w:jc w:val="center"/>
              <w:rPr>
                <w:rFonts w:ascii="Times New Roman" w:hAnsi="Times New Roman" w:cs="Times New Roman"/>
                <w:b/>
                <w:sz w:val="28"/>
                <w:szCs w:val="28"/>
                <w:lang w:val="uk-UA"/>
              </w:rPr>
            </w:pPr>
            <w:r w:rsidRPr="000E66DA">
              <w:rPr>
                <w:rFonts w:ascii="Times New Roman" w:hAnsi="Times New Roman" w:cs="Times New Roman"/>
                <w:b/>
                <w:sz w:val="28"/>
                <w:szCs w:val="28"/>
                <w:lang w:val="uk-UA" w:eastAsia="uk-UA"/>
              </w:rPr>
              <w:t>Так</w:t>
            </w:r>
          </w:p>
        </w:tc>
        <w:tc>
          <w:tcPr>
            <w:tcW w:w="2547" w:type="dxa"/>
            <w:shd w:val="clear" w:color="auto" w:fill="auto"/>
          </w:tcPr>
          <w:p w:rsidR="007253E6" w:rsidRPr="000E66DA" w:rsidRDefault="007253E6" w:rsidP="00623B32">
            <w:pPr>
              <w:spacing w:after="0" w:line="20" w:lineRule="atLeast"/>
              <w:contextualSpacing/>
              <w:jc w:val="center"/>
              <w:rPr>
                <w:rFonts w:ascii="Times New Roman" w:hAnsi="Times New Roman" w:cs="Times New Roman"/>
                <w:b/>
                <w:sz w:val="28"/>
                <w:szCs w:val="28"/>
                <w:lang w:val="uk-UA"/>
              </w:rPr>
            </w:pPr>
            <w:r w:rsidRPr="000E66DA">
              <w:rPr>
                <w:rFonts w:ascii="Times New Roman" w:hAnsi="Times New Roman" w:cs="Times New Roman"/>
                <w:b/>
                <w:sz w:val="28"/>
                <w:szCs w:val="28"/>
                <w:lang w:val="uk-UA" w:eastAsia="uk-UA"/>
              </w:rPr>
              <w:t>Ні</w:t>
            </w:r>
          </w:p>
        </w:tc>
      </w:tr>
      <w:tr w:rsidR="007253E6" w:rsidRPr="000E66DA" w:rsidTr="00623B32">
        <w:tc>
          <w:tcPr>
            <w:tcW w:w="4580" w:type="dxa"/>
            <w:shd w:val="clear" w:color="auto" w:fill="auto"/>
          </w:tcPr>
          <w:p w:rsidR="007253E6" w:rsidRPr="000E66DA" w:rsidRDefault="007253E6" w:rsidP="00623B32">
            <w:pPr>
              <w:spacing w:after="0" w:line="20" w:lineRule="atLeast"/>
              <w:ind w:left="142"/>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Громадяни</w:t>
            </w:r>
          </w:p>
        </w:tc>
        <w:tc>
          <w:tcPr>
            <w:tcW w:w="2953" w:type="dxa"/>
            <w:shd w:val="clear" w:color="auto" w:fill="auto"/>
          </w:tcPr>
          <w:p w:rsidR="007253E6" w:rsidRPr="000E66DA" w:rsidRDefault="007253E6" w:rsidP="00623B32">
            <w:pPr>
              <w:pStyle w:val="1"/>
              <w:spacing w:after="0" w:line="20" w:lineRule="atLeast"/>
              <w:ind w:left="0"/>
              <w:jc w:val="center"/>
              <w:rPr>
                <w:rFonts w:ascii="Times New Roman" w:hAnsi="Times New Roman" w:cs="Times New Roman"/>
                <w:sz w:val="28"/>
                <w:szCs w:val="28"/>
              </w:rPr>
            </w:pPr>
          </w:p>
        </w:tc>
        <w:tc>
          <w:tcPr>
            <w:tcW w:w="2547" w:type="dxa"/>
            <w:shd w:val="clear" w:color="auto" w:fill="auto"/>
          </w:tcPr>
          <w:p w:rsidR="007253E6" w:rsidRPr="000E66DA" w:rsidRDefault="007253E6" w:rsidP="00623B32">
            <w:pPr>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sz w:val="28"/>
                <w:szCs w:val="28"/>
                <w:lang w:val="uk-UA"/>
              </w:rPr>
              <w:t>Х</w:t>
            </w:r>
          </w:p>
        </w:tc>
      </w:tr>
      <w:tr w:rsidR="007253E6" w:rsidRPr="000E66DA" w:rsidTr="00623B32">
        <w:tc>
          <w:tcPr>
            <w:tcW w:w="4580" w:type="dxa"/>
            <w:shd w:val="clear" w:color="auto" w:fill="auto"/>
          </w:tcPr>
          <w:p w:rsidR="007253E6" w:rsidRPr="000E66DA" w:rsidRDefault="007253E6" w:rsidP="00623B32">
            <w:pPr>
              <w:spacing w:after="0" w:line="20" w:lineRule="atLeast"/>
              <w:ind w:left="142"/>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Держава</w:t>
            </w:r>
          </w:p>
        </w:tc>
        <w:tc>
          <w:tcPr>
            <w:tcW w:w="2953" w:type="dxa"/>
            <w:shd w:val="clear" w:color="auto" w:fill="auto"/>
          </w:tcPr>
          <w:p w:rsidR="007253E6" w:rsidRPr="000E66DA" w:rsidRDefault="007253E6" w:rsidP="00623B32">
            <w:pPr>
              <w:pStyle w:val="1"/>
              <w:spacing w:after="0" w:line="20" w:lineRule="atLeast"/>
              <w:ind w:left="0"/>
              <w:jc w:val="center"/>
              <w:rPr>
                <w:rFonts w:ascii="Times New Roman" w:hAnsi="Times New Roman" w:cs="Times New Roman"/>
                <w:sz w:val="28"/>
                <w:szCs w:val="28"/>
              </w:rPr>
            </w:pPr>
            <w:r w:rsidRPr="000E66DA">
              <w:rPr>
                <w:rFonts w:ascii="Times New Roman" w:hAnsi="Times New Roman" w:cs="Times New Roman"/>
                <w:sz w:val="28"/>
                <w:szCs w:val="28"/>
              </w:rPr>
              <w:t>Х</w:t>
            </w:r>
          </w:p>
        </w:tc>
        <w:tc>
          <w:tcPr>
            <w:tcW w:w="2547" w:type="dxa"/>
            <w:shd w:val="clear" w:color="auto" w:fill="auto"/>
          </w:tcPr>
          <w:p w:rsidR="007253E6" w:rsidRPr="000E66DA" w:rsidRDefault="007253E6" w:rsidP="00623B32">
            <w:pPr>
              <w:spacing w:after="0" w:line="20" w:lineRule="atLeast"/>
              <w:contextualSpacing/>
              <w:jc w:val="center"/>
              <w:rPr>
                <w:rFonts w:ascii="Times New Roman" w:hAnsi="Times New Roman" w:cs="Times New Roman"/>
                <w:sz w:val="28"/>
                <w:szCs w:val="28"/>
                <w:lang w:val="uk-UA"/>
              </w:rPr>
            </w:pPr>
          </w:p>
        </w:tc>
      </w:tr>
      <w:tr w:rsidR="007253E6" w:rsidRPr="000E66DA" w:rsidTr="00623B32">
        <w:trPr>
          <w:trHeight w:val="184"/>
        </w:trPr>
        <w:tc>
          <w:tcPr>
            <w:tcW w:w="4580" w:type="dxa"/>
            <w:shd w:val="clear" w:color="auto" w:fill="auto"/>
          </w:tcPr>
          <w:p w:rsidR="007253E6" w:rsidRPr="000E66DA" w:rsidRDefault="007253E6" w:rsidP="00623B32">
            <w:pPr>
              <w:spacing w:after="0" w:line="20" w:lineRule="atLeast"/>
              <w:ind w:left="142"/>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Суб’єкти господарювання</w:t>
            </w:r>
          </w:p>
        </w:tc>
        <w:tc>
          <w:tcPr>
            <w:tcW w:w="2953" w:type="dxa"/>
            <w:shd w:val="clear" w:color="auto" w:fill="auto"/>
          </w:tcPr>
          <w:p w:rsidR="007253E6" w:rsidRPr="000E66DA" w:rsidRDefault="007253E6" w:rsidP="00623B32">
            <w:pPr>
              <w:pStyle w:val="1"/>
              <w:spacing w:after="0" w:line="20" w:lineRule="atLeast"/>
              <w:ind w:left="0"/>
              <w:jc w:val="center"/>
              <w:rPr>
                <w:rFonts w:ascii="Times New Roman" w:hAnsi="Times New Roman" w:cs="Times New Roman"/>
                <w:sz w:val="28"/>
                <w:szCs w:val="28"/>
              </w:rPr>
            </w:pPr>
            <w:r w:rsidRPr="000E66DA">
              <w:rPr>
                <w:rFonts w:ascii="Times New Roman" w:hAnsi="Times New Roman" w:cs="Times New Roman"/>
                <w:sz w:val="28"/>
                <w:szCs w:val="28"/>
              </w:rPr>
              <w:t>Х</w:t>
            </w:r>
          </w:p>
        </w:tc>
        <w:tc>
          <w:tcPr>
            <w:tcW w:w="2547" w:type="dxa"/>
            <w:shd w:val="clear" w:color="auto" w:fill="auto"/>
          </w:tcPr>
          <w:p w:rsidR="007253E6" w:rsidRPr="000E66DA" w:rsidRDefault="007253E6" w:rsidP="00623B32">
            <w:pPr>
              <w:spacing w:after="0" w:line="20" w:lineRule="atLeast"/>
              <w:contextualSpacing/>
              <w:jc w:val="center"/>
              <w:rPr>
                <w:rFonts w:ascii="Times New Roman" w:hAnsi="Times New Roman" w:cs="Times New Roman"/>
                <w:sz w:val="28"/>
                <w:szCs w:val="28"/>
                <w:lang w:val="uk-UA"/>
              </w:rPr>
            </w:pPr>
          </w:p>
        </w:tc>
      </w:tr>
      <w:tr w:rsidR="007253E6" w:rsidRPr="000E66DA" w:rsidTr="00623B32">
        <w:tc>
          <w:tcPr>
            <w:tcW w:w="4580" w:type="dxa"/>
            <w:shd w:val="clear" w:color="auto" w:fill="auto"/>
          </w:tcPr>
          <w:p w:rsidR="007253E6" w:rsidRPr="000E66DA" w:rsidRDefault="007253E6" w:rsidP="00623B32">
            <w:pPr>
              <w:spacing w:after="0" w:line="20" w:lineRule="atLeast"/>
              <w:ind w:left="142"/>
              <w:contextualSpacing/>
              <w:jc w:val="both"/>
              <w:rPr>
                <w:rFonts w:ascii="Times New Roman" w:hAnsi="Times New Roman" w:cs="Times New Roman"/>
                <w:sz w:val="28"/>
                <w:szCs w:val="28"/>
                <w:lang w:val="uk-UA"/>
              </w:rPr>
            </w:pPr>
            <w:bookmarkStart w:id="11" w:name="n96"/>
            <w:bookmarkEnd w:id="11"/>
            <w:r w:rsidRPr="000E66DA">
              <w:rPr>
                <w:rFonts w:ascii="Times New Roman" w:hAnsi="Times New Roman" w:cs="Times New Roman"/>
                <w:sz w:val="28"/>
                <w:szCs w:val="28"/>
                <w:lang w:val="uk-UA" w:eastAsia="uk-UA"/>
              </w:rPr>
              <w:t xml:space="preserve">у тому числі суб’єкти малого підприємництва </w:t>
            </w:r>
          </w:p>
        </w:tc>
        <w:tc>
          <w:tcPr>
            <w:tcW w:w="2953" w:type="dxa"/>
            <w:shd w:val="clear" w:color="auto" w:fill="auto"/>
          </w:tcPr>
          <w:p w:rsidR="007253E6" w:rsidRPr="000E66DA" w:rsidRDefault="007253E6" w:rsidP="00623B32">
            <w:pPr>
              <w:tabs>
                <w:tab w:val="center" w:pos="368"/>
              </w:tabs>
              <w:spacing w:after="0" w:line="20" w:lineRule="atLeast"/>
              <w:contextualSpacing/>
              <w:jc w:val="center"/>
              <w:rPr>
                <w:rFonts w:ascii="Times New Roman" w:hAnsi="Times New Roman" w:cs="Times New Roman"/>
                <w:sz w:val="28"/>
                <w:szCs w:val="28"/>
                <w:lang w:val="uk-UA"/>
              </w:rPr>
            </w:pPr>
          </w:p>
        </w:tc>
        <w:tc>
          <w:tcPr>
            <w:tcW w:w="2547" w:type="dxa"/>
            <w:shd w:val="clear" w:color="auto" w:fill="auto"/>
          </w:tcPr>
          <w:p w:rsidR="007253E6" w:rsidRPr="000E66DA" w:rsidRDefault="007253E6" w:rsidP="00623B32">
            <w:pPr>
              <w:spacing w:after="0" w:line="20" w:lineRule="atLeast"/>
              <w:contextualSpacing/>
              <w:jc w:val="center"/>
              <w:rPr>
                <w:rFonts w:ascii="Times New Roman" w:hAnsi="Times New Roman" w:cs="Times New Roman"/>
                <w:sz w:val="28"/>
                <w:szCs w:val="28"/>
                <w:lang w:val="uk-UA"/>
              </w:rPr>
            </w:pPr>
          </w:p>
        </w:tc>
      </w:tr>
    </w:tbl>
    <w:p w:rsidR="007253E6" w:rsidRPr="0018789A" w:rsidRDefault="007253E6" w:rsidP="007253E6">
      <w:pPr>
        <w:shd w:val="clear" w:color="auto" w:fill="FFFFFF"/>
        <w:spacing w:after="0" w:line="20" w:lineRule="atLeast"/>
        <w:contextualSpacing/>
        <w:jc w:val="both"/>
        <w:rPr>
          <w:rFonts w:ascii="Times New Roman" w:hAnsi="Times New Roman" w:cs="Times New Roman"/>
          <w:sz w:val="28"/>
          <w:szCs w:val="28"/>
          <w:lang w:val="uk-UA"/>
        </w:rPr>
      </w:pPr>
    </w:p>
    <w:p w:rsidR="007253E6" w:rsidRPr="000E66DA" w:rsidRDefault="007253E6" w:rsidP="007253E6">
      <w:pPr>
        <w:spacing w:after="0" w:line="20" w:lineRule="atLeast"/>
        <w:ind w:firstLine="720"/>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 xml:space="preserve">Проблема не може бути розв’язана за допомогою ринкових механізмів, оскільки відповідно до положень Закону України «Про державне регулювання діяльності щодо організації та проведення азартних ігор» </w:t>
      </w:r>
      <w:r w:rsidR="00BE6DAE" w:rsidRPr="000E66DA">
        <w:rPr>
          <w:rFonts w:ascii="Times New Roman" w:hAnsi="Times New Roman" w:cs="Times New Roman"/>
          <w:sz w:val="28"/>
          <w:szCs w:val="28"/>
          <w:lang w:val="uk-UA"/>
        </w:rPr>
        <w:t>перелік, форми та порядок подання звітності організаторами азартних ігор визначається Комісією з регулювання азартних ігор та лотерей.</w:t>
      </w:r>
    </w:p>
    <w:p w:rsidR="007253E6" w:rsidRPr="000E66DA" w:rsidRDefault="007253E6" w:rsidP="007253E6">
      <w:pPr>
        <w:spacing w:after="0" w:line="20" w:lineRule="atLeast"/>
        <w:ind w:firstLine="720"/>
        <w:contextualSpacing/>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 xml:space="preserve">Діючі нормативно-правові акти, які встановлюють </w:t>
      </w:r>
      <w:r w:rsidR="00155C5C" w:rsidRPr="000E66DA">
        <w:rPr>
          <w:rFonts w:ascii="Times New Roman" w:hAnsi="Times New Roman" w:cs="Times New Roman"/>
          <w:sz w:val="28"/>
          <w:szCs w:val="28"/>
          <w:lang w:val="uk-UA"/>
        </w:rPr>
        <w:t>перелік, форми та порядок подання звітності організаторами азартних ігор</w:t>
      </w:r>
      <w:r w:rsidRPr="000E66DA">
        <w:rPr>
          <w:rFonts w:ascii="Times New Roman" w:hAnsi="Times New Roman" w:cs="Times New Roman"/>
          <w:sz w:val="28"/>
          <w:szCs w:val="28"/>
          <w:lang w:val="uk-UA" w:eastAsia="uk-UA"/>
        </w:rPr>
        <w:t>, відсутні.</w:t>
      </w:r>
    </w:p>
    <w:p w:rsidR="007253E6" w:rsidRPr="000E66DA" w:rsidRDefault="007253E6" w:rsidP="007253E6">
      <w:pPr>
        <w:shd w:val="clear" w:color="auto" w:fill="FFFFFF"/>
        <w:spacing w:after="0" w:line="20" w:lineRule="atLeast"/>
        <w:contextualSpacing/>
        <w:jc w:val="both"/>
        <w:rPr>
          <w:rFonts w:ascii="Times New Roman" w:hAnsi="Times New Roman" w:cs="Times New Roman"/>
          <w:sz w:val="28"/>
          <w:szCs w:val="28"/>
          <w:lang w:val="uk-UA" w:eastAsia="uk-UA"/>
        </w:rPr>
      </w:pPr>
    </w:p>
    <w:p w:rsidR="007253E6" w:rsidRPr="000E66DA" w:rsidRDefault="007253E6" w:rsidP="007253E6">
      <w:pPr>
        <w:shd w:val="clear" w:color="auto" w:fill="FFFFFF"/>
        <w:spacing w:after="0" w:line="20" w:lineRule="atLeast"/>
        <w:contextualSpacing/>
        <w:jc w:val="center"/>
        <w:rPr>
          <w:rFonts w:ascii="Times New Roman" w:hAnsi="Times New Roman" w:cs="Times New Roman"/>
          <w:sz w:val="28"/>
          <w:szCs w:val="28"/>
          <w:lang w:val="uk-UA"/>
        </w:rPr>
      </w:pPr>
      <w:bookmarkStart w:id="12" w:name="n99"/>
      <w:bookmarkEnd w:id="12"/>
      <w:r w:rsidRPr="000E66DA">
        <w:rPr>
          <w:rFonts w:ascii="Times New Roman" w:hAnsi="Times New Roman" w:cs="Times New Roman"/>
          <w:b/>
          <w:bCs/>
          <w:sz w:val="28"/>
          <w:szCs w:val="28"/>
          <w:lang w:val="uk-UA" w:eastAsia="uk-UA"/>
        </w:rPr>
        <w:t>II. Цілі державного регулювання</w:t>
      </w:r>
    </w:p>
    <w:p w:rsidR="007253E6" w:rsidRPr="000E66DA" w:rsidRDefault="007253E6" w:rsidP="007253E6">
      <w:pPr>
        <w:shd w:val="clear" w:color="auto" w:fill="FFFFFF"/>
        <w:spacing w:after="0" w:line="20" w:lineRule="atLeast"/>
        <w:contextualSpacing/>
        <w:jc w:val="center"/>
        <w:rPr>
          <w:rFonts w:ascii="Times New Roman" w:hAnsi="Times New Roman" w:cs="Times New Roman"/>
          <w:sz w:val="28"/>
          <w:szCs w:val="28"/>
          <w:lang w:val="uk-UA" w:eastAsia="uk-UA"/>
        </w:rPr>
      </w:pPr>
    </w:p>
    <w:p w:rsidR="007253E6" w:rsidRPr="000E66DA" w:rsidRDefault="007253E6" w:rsidP="007253E6">
      <w:pPr>
        <w:spacing w:after="0" w:line="20" w:lineRule="atLeast"/>
        <w:ind w:firstLine="709"/>
        <w:contextualSpacing/>
        <w:jc w:val="both"/>
        <w:rPr>
          <w:rFonts w:ascii="Times New Roman" w:hAnsi="Times New Roman" w:cs="Times New Roman"/>
          <w:sz w:val="28"/>
          <w:szCs w:val="28"/>
          <w:lang w:val="uk-UA"/>
        </w:rPr>
      </w:pPr>
      <w:bookmarkStart w:id="13" w:name="n101"/>
      <w:bookmarkStart w:id="14" w:name="n100"/>
      <w:bookmarkEnd w:id="13"/>
      <w:bookmarkEnd w:id="14"/>
      <w:r w:rsidRPr="000E66DA">
        <w:rPr>
          <w:rFonts w:ascii="Times New Roman" w:hAnsi="Times New Roman" w:cs="Times New Roman"/>
          <w:sz w:val="28"/>
          <w:szCs w:val="28"/>
          <w:lang w:val="uk-UA"/>
        </w:rPr>
        <w:t xml:space="preserve">Цілями державного регулювання проєкту </w:t>
      </w:r>
      <w:r w:rsidR="00155C5C" w:rsidRPr="000E66DA">
        <w:rPr>
          <w:rFonts w:ascii="Times New Roman" w:hAnsi="Times New Roman" w:cs="Times New Roman"/>
          <w:sz w:val="28"/>
          <w:szCs w:val="28"/>
          <w:lang w:val="uk-UA"/>
        </w:rPr>
        <w:t>рішення</w:t>
      </w:r>
      <w:r w:rsidRPr="000E66DA">
        <w:rPr>
          <w:rFonts w:ascii="Times New Roman" w:hAnsi="Times New Roman" w:cs="Times New Roman"/>
          <w:sz w:val="28"/>
          <w:szCs w:val="28"/>
          <w:lang w:val="uk-UA"/>
        </w:rPr>
        <w:t xml:space="preserve"> є:</w:t>
      </w:r>
    </w:p>
    <w:p w:rsidR="007253E6" w:rsidRPr="000E66DA" w:rsidRDefault="007253E6" w:rsidP="007253E6">
      <w:pPr>
        <w:pStyle w:val="1"/>
        <w:numPr>
          <w:ilvl w:val="0"/>
          <w:numId w:val="2"/>
        </w:numPr>
        <w:spacing w:after="0" w:line="20" w:lineRule="atLeast"/>
        <w:jc w:val="both"/>
        <w:rPr>
          <w:rFonts w:ascii="Times New Roman" w:hAnsi="Times New Roman" w:cs="Times New Roman"/>
          <w:sz w:val="28"/>
          <w:szCs w:val="28"/>
        </w:rPr>
      </w:pPr>
      <w:r w:rsidRPr="000E66DA">
        <w:rPr>
          <w:rFonts w:ascii="Times New Roman" w:eastAsia="Times New Roman" w:hAnsi="Times New Roman" w:cs="Times New Roman"/>
          <w:sz w:val="28"/>
          <w:szCs w:val="28"/>
          <w:lang w:eastAsia="ru-RU"/>
        </w:rPr>
        <w:t xml:space="preserve">створення нормативно-правового підґрунтя для </w:t>
      </w:r>
      <w:r w:rsidR="00EF30A9" w:rsidRPr="000E66DA">
        <w:rPr>
          <w:rFonts w:ascii="Times New Roman" w:eastAsia="Times New Roman" w:hAnsi="Times New Roman" w:cs="Times New Roman"/>
          <w:sz w:val="28"/>
          <w:szCs w:val="28"/>
          <w:lang w:eastAsia="ru-RU"/>
        </w:rPr>
        <w:t>подання звітності</w:t>
      </w:r>
      <w:r w:rsidRPr="000E66DA">
        <w:rPr>
          <w:rFonts w:ascii="Times New Roman" w:eastAsia="Times New Roman" w:hAnsi="Times New Roman" w:cs="Times New Roman"/>
          <w:sz w:val="28"/>
          <w:szCs w:val="28"/>
          <w:lang w:eastAsia="ru-RU"/>
        </w:rPr>
        <w:t xml:space="preserve"> організатор</w:t>
      </w:r>
      <w:r w:rsidR="00EF30A9" w:rsidRPr="000E66DA">
        <w:rPr>
          <w:rFonts w:ascii="Times New Roman" w:eastAsia="Times New Roman" w:hAnsi="Times New Roman" w:cs="Times New Roman"/>
          <w:sz w:val="28"/>
          <w:szCs w:val="28"/>
          <w:lang w:eastAsia="ru-RU"/>
        </w:rPr>
        <w:t>ами азартних ігор;</w:t>
      </w:r>
    </w:p>
    <w:p w:rsidR="00EF30A9" w:rsidRPr="000E66DA" w:rsidRDefault="007253E6" w:rsidP="0086712C">
      <w:pPr>
        <w:pStyle w:val="1"/>
        <w:numPr>
          <w:ilvl w:val="0"/>
          <w:numId w:val="9"/>
        </w:numPr>
        <w:spacing w:after="0" w:line="20" w:lineRule="atLeast"/>
        <w:jc w:val="both"/>
        <w:rPr>
          <w:rFonts w:ascii="Times New Roman" w:hAnsi="Times New Roman" w:cs="Times New Roman"/>
          <w:sz w:val="28"/>
          <w:szCs w:val="28"/>
        </w:rPr>
      </w:pPr>
      <w:r w:rsidRPr="000E66DA">
        <w:rPr>
          <w:rFonts w:ascii="Times New Roman" w:eastAsia="Times New Roman" w:hAnsi="Times New Roman" w:cs="Times New Roman"/>
          <w:sz w:val="28"/>
          <w:szCs w:val="28"/>
          <w:lang w:eastAsia="ru-RU"/>
        </w:rPr>
        <w:t>покращення стану дотримання організаторами аз</w:t>
      </w:r>
      <w:r w:rsidR="00523DD9" w:rsidRPr="000E66DA">
        <w:rPr>
          <w:rFonts w:ascii="Times New Roman" w:eastAsia="Times New Roman" w:hAnsi="Times New Roman" w:cs="Times New Roman"/>
          <w:sz w:val="28"/>
          <w:szCs w:val="28"/>
          <w:lang w:eastAsia="ru-RU"/>
        </w:rPr>
        <w:t>артних ігор вимог законодавства;</w:t>
      </w:r>
    </w:p>
    <w:p w:rsidR="00523DD9" w:rsidRPr="000E66DA" w:rsidRDefault="00523DD9" w:rsidP="0086712C">
      <w:pPr>
        <w:pStyle w:val="1"/>
        <w:numPr>
          <w:ilvl w:val="0"/>
          <w:numId w:val="9"/>
        </w:numPr>
        <w:spacing w:after="0" w:line="20" w:lineRule="atLeast"/>
        <w:jc w:val="both"/>
        <w:rPr>
          <w:rFonts w:ascii="Times New Roman" w:hAnsi="Times New Roman" w:cs="Times New Roman"/>
          <w:sz w:val="28"/>
          <w:szCs w:val="28"/>
        </w:rPr>
      </w:pPr>
      <w:r w:rsidRPr="000E66DA">
        <w:rPr>
          <w:rFonts w:ascii="Times New Roman" w:eastAsia="Times New Roman" w:hAnsi="Times New Roman" w:cs="Times New Roman"/>
          <w:sz w:val="28"/>
          <w:szCs w:val="28"/>
          <w:lang w:eastAsia="ru-RU"/>
        </w:rPr>
        <w:t xml:space="preserve">забезпечення </w:t>
      </w:r>
      <w:r w:rsidR="00CF31CD" w:rsidRPr="000E66DA">
        <w:rPr>
          <w:rFonts w:ascii="Times New Roman" w:hAnsi="Times New Roman" w:cs="Times New Roman"/>
          <w:sz w:val="28"/>
          <w:szCs w:val="28"/>
        </w:rPr>
        <w:t>прозорості та відкритості діяльності організаторів азартних ігор</w:t>
      </w:r>
      <w:r w:rsidR="002B49D0" w:rsidRPr="000E66DA">
        <w:rPr>
          <w:rFonts w:ascii="Times New Roman" w:hAnsi="Times New Roman" w:cs="Times New Roman"/>
          <w:sz w:val="28"/>
          <w:szCs w:val="28"/>
        </w:rPr>
        <w:t>;</w:t>
      </w:r>
    </w:p>
    <w:p w:rsidR="002B49D0" w:rsidRPr="000E66DA" w:rsidRDefault="002B49D0" w:rsidP="0086712C">
      <w:pPr>
        <w:pStyle w:val="1"/>
        <w:numPr>
          <w:ilvl w:val="0"/>
          <w:numId w:val="9"/>
        </w:numPr>
        <w:spacing w:after="0" w:line="20" w:lineRule="atLeast"/>
        <w:jc w:val="both"/>
        <w:rPr>
          <w:rFonts w:ascii="Times New Roman" w:hAnsi="Times New Roman" w:cs="Times New Roman"/>
          <w:sz w:val="28"/>
          <w:szCs w:val="28"/>
        </w:rPr>
      </w:pPr>
      <w:r w:rsidRPr="000E66DA">
        <w:rPr>
          <w:rFonts w:ascii="Times New Roman" w:hAnsi="Times New Roman" w:cs="Times New Roman"/>
          <w:sz w:val="28"/>
          <w:szCs w:val="28"/>
        </w:rPr>
        <w:t>створення необхідної інформаційно-аналітичної бази, що містить інформацію про діяльність організаторів азартних ігор;</w:t>
      </w:r>
    </w:p>
    <w:p w:rsidR="002B49D0" w:rsidRPr="000E66DA" w:rsidRDefault="002B49D0" w:rsidP="0086712C">
      <w:pPr>
        <w:pStyle w:val="1"/>
        <w:numPr>
          <w:ilvl w:val="0"/>
          <w:numId w:val="9"/>
        </w:numPr>
        <w:spacing w:after="0" w:line="20" w:lineRule="atLeast"/>
        <w:jc w:val="both"/>
        <w:rPr>
          <w:rFonts w:ascii="Times New Roman" w:hAnsi="Times New Roman" w:cs="Times New Roman"/>
          <w:sz w:val="28"/>
          <w:szCs w:val="28"/>
        </w:rPr>
      </w:pPr>
      <w:r w:rsidRPr="000E66DA">
        <w:rPr>
          <w:rFonts w:ascii="Times New Roman" w:hAnsi="Times New Roman" w:cs="Times New Roman"/>
          <w:sz w:val="28"/>
          <w:szCs w:val="28"/>
        </w:rPr>
        <w:t>відстеження стану ринку азартних ігор.</w:t>
      </w:r>
    </w:p>
    <w:p w:rsidR="00EF30A9" w:rsidRPr="000E66DA" w:rsidRDefault="00EF30A9" w:rsidP="007253E6">
      <w:pPr>
        <w:pStyle w:val="1"/>
        <w:spacing w:after="0" w:line="20" w:lineRule="atLeast"/>
        <w:ind w:left="426"/>
        <w:jc w:val="both"/>
        <w:rPr>
          <w:rFonts w:ascii="Times New Roman" w:hAnsi="Times New Roman" w:cs="Times New Roman"/>
          <w:sz w:val="28"/>
          <w:szCs w:val="28"/>
        </w:rPr>
      </w:pPr>
    </w:p>
    <w:p w:rsidR="007253E6" w:rsidRPr="000E66DA" w:rsidRDefault="007253E6" w:rsidP="007253E6">
      <w:pPr>
        <w:shd w:val="clear" w:color="auto" w:fill="FFFFFF"/>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b/>
          <w:bCs/>
          <w:sz w:val="28"/>
          <w:szCs w:val="28"/>
          <w:lang w:val="uk-UA" w:eastAsia="uk-UA"/>
        </w:rPr>
        <w:t>III. Визначення та оцінка альтернативних способів досягнення цілей</w:t>
      </w:r>
      <w:bookmarkStart w:id="15" w:name="n151"/>
      <w:bookmarkStart w:id="16" w:name="n102"/>
      <w:bookmarkEnd w:id="15"/>
      <w:bookmarkEnd w:id="16"/>
    </w:p>
    <w:p w:rsidR="007253E6" w:rsidRPr="000E66DA" w:rsidRDefault="007253E6" w:rsidP="007253E6">
      <w:pPr>
        <w:pStyle w:val="rvps2"/>
        <w:shd w:val="clear" w:color="auto" w:fill="FFFFFF"/>
        <w:spacing w:before="0" w:after="0" w:line="20" w:lineRule="atLeast"/>
        <w:ind w:firstLine="708"/>
        <w:contextualSpacing/>
        <w:jc w:val="both"/>
        <w:rPr>
          <w:sz w:val="28"/>
          <w:szCs w:val="28"/>
        </w:rPr>
      </w:pPr>
      <w:r w:rsidRPr="000E66DA">
        <w:rPr>
          <w:sz w:val="28"/>
          <w:szCs w:val="28"/>
          <w:lang w:eastAsia="ru-RU"/>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2184"/>
        <w:gridCol w:w="7484"/>
      </w:tblGrid>
      <w:tr w:rsidR="007253E6" w:rsidRPr="000E66DA" w:rsidTr="00623B32">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center"/>
              <w:rPr>
                <w:rFonts w:ascii="Times New Roman" w:hAnsi="Times New Roman" w:cs="Times New Roman"/>
                <w:b/>
                <w:sz w:val="28"/>
                <w:szCs w:val="28"/>
                <w:lang w:val="uk-UA"/>
              </w:rPr>
            </w:pPr>
            <w:r w:rsidRPr="000E66DA">
              <w:rPr>
                <w:rFonts w:ascii="Times New Roman" w:hAnsi="Times New Roman" w:cs="Times New Roman"/>
                <w:b/>
                <w:sz w:val="28"/>
                <w:szCs w:val="28"/>
                <w:lang w:val="uk-UA" w:eastAsia="uk-UA"/>
              </w:rPr>
              <w:t>Вид альтернативи</w:t>
            </w: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center"/>
              <w:rPr>
                <w:rFonts w:ascii="Times New Roman" w:hAnsi="Times New Roman" w:cs="Times New Roman"/>
                <w:b/>
                <w:sz w:val="28"/>
                <w:szCs w:val="28"/>
                <w:lang w:val="uk-UA"/>
              </w:rPr>
            </w:pPr>
            <w:r w:rsidRPr="000E66DA">
              <w:rPr>
                <w:rFonts w:ascii="Times New Roman" w:hAnsi="Times New Roman" w:cs="Times New Roman"/>
                <w:b/>
                <w:sz w:val="28"/>
                <w:szCs w:val="28"/>
                <w:lang w:val="uk-UA" w:eastAsia="uk-UA"/>
              </w:rPr>
              <w:t>Опис альтернативи</w:t>
            </w:r>
          </w:p>
        </w:tc>
      </w:tr>
      <w:tr w:rsidR="007253E6" w:rsidRPr="0018789A" w:rsidTr="00623B32">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7253E6" w:rsidRPr="0018789A" w:rsidRDefault="007253E6" w:rsidP="00623B32">
            <w:pPr>
              <w:spacing w:after="0" w:line="20" w:lineRule="atLeast"/>
              <w:ind w:left="142"/>
              <w:contextualSpacing/>
              <w:rPr>
                <w:rFonts w:ascii="Times New Roman" w:hAnsi="Times New Roman" w:cs="Times New Roman"/>
                <w:sz w:val="28"/>
                <w:szCs w:val="28"/>
                <w:lang w:val="uk-UA"/>
              </w:rPr>
            </w:pPr>
            <w:r w:rsidRPr="0018789A">
              <w:rPr>
                <w:rFonts w:ascii="Times New Roman" w:hAnsi="Times New Roman" w:cs="Times New Roman"/>
                <w:sz w:val="28"/>
                <w:szCs w:val="28"/>
                <w:lang w:val="uk-UA" w:eastAsia="uk-UA"/>
              </w:rPr>
              <w:t>Альтернатива 1</w:t>
            </w:r>
          </w:p>
          <w:p w:rsidR="007253E6" w:rsidRPr="0018789A" w:rsidRDefault="007253E6" w:rsidP="00623B32">
            <w:pPr>
              <w:spacing w:after="0" w:line="20" w:lineRule="atLeast"/>
              <w:ind w:left="142"/>
              <w:contextualSpacing/>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ind w:left="127" w:right="157"/>
              <w:contextualSpacing/>
              <w:jc w:val="both"/>
              <w:rPr>
                <w:rFonts w:ascii="Times New Roman" w:hAnsi="Times New Roman" w:cs="Times New Roman"/>
                <w:sz w:val="28"/>
                <w:szCs w:val="28"/>
                <w:lang w:val="uk-UA"/>
              </w:rPr>
            </w:pPr>
            <w:r w:rsidRPr="000E66DA">
              <w:rPr>
                <w:rFonts w:ascii="Times New Roman" w:hAnsi="Times New Roman" w:cs="Times New Roman"/>
                <w:b/>
                <w:sz w:val="28"/>
                <w:szCs w:val="28"/>
                <w:lang w:val="uk-UA"/>
              </w:rPr>
              <w:t xml:space="preserve">Залишення ситуації без змін. </w:t>
            </w:r>
            <w:r w:rsidRPr="000E66DA">
              <w:rPr>
                <w:rFonts w:ascii="Times New Roman" w:hAnsi="Times New Roman" w:cs="Times New Roman"/>
                <w:sz w:val="28"/>
                <w:szCs w:val="28"/>
                <w:lang w:val="uk-UA"/>
              </w:rPr>
              <w:t xml:space="preserve"> </w:t>
            </w:r>
          </w:p>
          <w:p w:rsidR="007253E6" w:rsidRPr="000E66DA" w:rsidRDefault="0086712C" w:rsidP="00623B32">
            <w:pPr>
              <w:spacing w:after="0" w:line="20" w:lineRule="atLeast"/>
              <w:ind w:left="127" w:right="157"/>
              <w:contextualSpacing/>
              <w:jc w:val="both"/>
              <w:rPr>
                <w:rFonts w:ascii="Times New Roman" w:eastAsia="Times New Roman" w:hAnsi="Times New Roman" w:cs="Times New Roman"/>
                <w:sz w:val="28"/>
                <w:szCs w:val="28"/>
                <w:lang w:val="uk-UA" w:eastAsia="ru-RU"/>
              </w:rPr>
            </w:pPr>
            <w:r w:rsidRPr="000E66DA">
              <w:rPr>
                <w:rFonts w:ascii="Times New Roman" w:hAnsi="Times New Roman" w:cs="Times New Roman"/>
                <w:sz w:val="28"/>
                <w:szCs w:val="28"/>
                <w:lang w:val="uk-UA"/>
              </w:rPr>
              <w:t>Відповідно до абзацу десятого частини першої с</w:t>
            </w:r>
            <w:r w:rsidR="007253E6" w:rsidRPr="000E66DA">
              <w:rPr>
                <w:rFonts w:ascii="Times New Roman" w:hAnsi="Times New Roman" w:cs="Times New Roman"/>
                <w:sz w:val="28"/>
                <w:szCs w:val="28"/>
                <w:lang w:val="uk-UA"/>
              </w:rPr>
              <w:t xml:space="preserve">татті 8 Закону України </w:t>
            </w:r>
            <w:r w:rsidR="007253E6" w:rsidRPr="000E66DA">
              <w:rPr>
                <w:rFonts w:ascii="Times New Roman" w:eastAsia="Times New Roman" w:hAnsi="Times New Roman" w:cs="Times New Roman"/>
                <w:sz w:val="28"/>
                <w:szCs w:val="28"/>
                <w:lang w:val="uk-UA" w:eastAsia="ru-RU"/>
              </w:rPr>
              <w:t>«</w:t>
            </w:r>
            <w:hyperlink r:id="rId9" w:history="1">
              <w:r w:rsidR="007253E6" w:rsidRPr="000E66DA">
                <w:rPr>
                  <w:rFonts w:ascii="Times New Roman" w:eastAsia="Times New Roman" w:hAnsi="Times New Roman" w:cs="Times New Roman"/>
                  <w:sz w:val="28"/>
                  <w:szCs w:val="28"/>
                  <w:lang w:val="uk-UA" w:eastAsia="ru-RU"/>
                </w:rPr>
                <w:t>Про державне регулювання діяльності щодо організації та проведення азартних ігор</w:t>
              </w:r>
            </w:hyperlink>
            <w:r w:rsidR="007253E6" w:rsidRPr="000E66DA">
              <w:rPr>
                <w:rFonts w:ascii="Times New Roman" w:eastAsia="Times New Roman" w:hAnsi="Times New Roman" w:cs="Times New Roman"/>
                <w:sz w:val="28"/>
                <w:szCs w:val="28"/>
                <w:lang w:val="uk-UA" w:eastAsia="ru-RU"/>
              </w:rPr>
              <w:t>»</w:t>
            </w:r>
            <w:r w:rsidR="007253E6" w:rsidRPr="000E66DA">
              <w:rPr>
                <w:rFonts w:ascii="Times New Roman" w:hAnsi="Times New Roman" w:cs="Times New Roman"/>
                <w:sz w:val="28"/>
                <w:szCs w:val="28"/>
                <w:lang w:val="uk-UA"/>
              </w:rPr>
              <w:t xml:space="preserve"> </w:t>
            </w:r>
            <w:r w:rsidRPr="000E66DA">
              <w:rPr>
                <w:rFonts w:ascii="Times New Roman" w:eastAsia="Times New Roman" w:hAnsi="Times New Roman" w:cs="Times New Roman"/>
                <w:sz w:val="28"/>
                <w:szCs w:val="28"/>
                <w:lang w:val="uk-UA" w:eastAsia="ru-RU"/>
              </w:rPr>
              <w:t>перелік, форми та порядок подання звітності організаторами азартних ігор затверджуються КРАІЛ</w:t>
            </w:r>
            <w:r w:rsidR="007253E6" w:rsidRPr="000E66DA">
              <w:rPr>
                <w:rFonts w:ascii="Times New Roman" w:eastAsia="Times New Roman" w:hAnsi="Times New Roman" w:cs="Times New Roman"/>
                <w:sz w:val="28"/>
                <w:szCs w:val="28"/>
                <w:lang w:val="uk-UA" w:eastAsia="ru-RU"/>
              </w:rPr>
              <w:t>.</w:t>
            </w:r>
          </w:p>
          <w:p w:rsidR="007253E6" w:rsidRPr="000E66DA" w:rsidRDefault="007253E6" w:rsidP="00340468">
            <w:pPr>
              <w:pStyle w:val="tj"/>
              <w:shd w:val="clear" w:color="auto" w:fill="FFFFFF"/>
              <w:spacing w:before="0" w:after="0" w:line="20" w:lineRule="atLeast"/>
              <w:ind w:left="127" w:right="157"/>
              <w:contextualSpacing/>
              <w:jc w:val="both"/>
              <w:rPr>
                <w:sz w:val="28"/>
                <w:szCs w:val="28"/>
                <w:lang w:val="uk-UA"/>
              </w:rPr>
            </w:pPr>
            <w:r w:rsidRPr="000E66DA">
              <w:rPr>
                <w:sz w:val="28"/>
                <w:szCs w:val="28"/>
                <w:lang w:val="uk-UA"/>
              </w:rPr>
              <w:t xml:space="preserve">Відсутність нормативно-правового акта, який визначає </w:t>
            </w:r>
            <w:r w:rsidR="0086712C" w:rsidRPr="000E66DA">
              <w:rPr>
                <w:sz w:val="28"/>
                <w:szCs w:val="28"/>
                <w:lang w:val="uk-UA"/>
              </w:rPr>
              <w:t>перелік, форми та порядок подання звітності організаторами азартних ігор</w:t>
            </w:r>
            <w:r w:rsidRPr="000E66DA">
              <w:rPr>
                <w:sz w:val="28"/>
                <w:szCs w:val="28"/>
                <w:lang w:val="uk-UA"/>
              </w:rPr>
              <w:t xml:space="preserve"> унеможливлює  </w:t>
            </w:r>
            <w:r w:rsidR="005251DE" w:rsidRPr="000E66DA">
              <w:rPr>
                <w:sz w:val="28"/>
                <w:szCs w:val="28"/>
                <w:lang w:val="uk-UA"/>
              </w:rPr>
              <w:t>отримання</w:t>
            </w:r>
            <w:r w:rsidR="00B62C7A" w:rsidRPr="000E66DA">
              <w:rPr>
                <w:sz w:val="28"/>
                <w:szCs w:val="28"/>
                <w:lang w:val="uk-UA"/>
              </w:rPr>
              <w:t xml:space="preserve"> </w:t>
            </w:r>
            <w:r w:rsidR="00B62C7A" w:rsidRPr="000E66DA">
              <w:rPr>
                <w:sz w:val="28"/>
                <w:szCs w:val="28"/>
                <w:lang w:val="uk-UA"/>
              </w:rPr>
              <w:lastRenderedPageBreak/>
              <w:t>необхідної</w:t>
            </w:r>
            <w:r w:rsidR="005251DE" w:rsidRPr="000E66DA">
              <w:rPr>
                <w:sz w:val="28"/>
                <w:szCs w:val="28"/>
                <w:lang w:val="uk-UA"/>
              </w:rPr>
              <w:t xml:space="preserve"> інформації </w:t>
            </w:r>
            <w:r w:rsidR="007D067F" w:rsidRPr="000E66DA">
              <w:rPr>
                <w:sz w:val="28"/>
                <w:szCs w:val="28"/>
                <w:lang w:val="uk-UA"/>
              </w:rPr>
              <w:t xml:space="preserve">про діяльність організаторів азартних ігор </w:t>
            </w:r>
            <w:r w:rsidR="005251DE" w:rsidRPr="000E66DA">
              <w:rPr>
                <w:sz w:val="28"/>
                <w:szCs w:val="28"/>
                <w:lang w:val="uk-UA"/>
              </w:rPr>
              <w:t xml:space="preserve">та виконання повноважень КРАІЛ в межах, визначених законодавством. </w:t>
            </w:r>
          </w:p>
        </w:tc>
      </w:tr>
      <w:tr w:rsidR="007253E6" w:rsidRPr="0018789A" w:rsidTr="00623B32">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7253E6" w:rsidRPr="0018789A" w:rsidRDefault="007253E6" w:rsidP="00623B32">
            <w:pPr>
              <w:spacing w:after="0" w:line="20" w:lineRule="atLeast"/>
              <w:ind w:left="142"/>
              <w:contextualSpacing/>
              <w:rPr>
                <w:rFonts w:ascii="Times New Roman" w:hAnsi="Times New Roman" w:cs="Times New Roman"/>
                <w:sz w:val="28"/>
                <w:szCs w:val="28"/>
                <w:lang w:val="uk-UA"/>
              </w:rPr>
            </w:pPr>
            <w:r w:rsidRPr="0018789A">
              <w:rPr>
                <w:rFonts w:ascii="Times New Roman" w:hAnsi="Times New Roman" w:cs="Times New Roman"/>
                <w:sz w:val="28"/>
                <w:szCs w:val="28"/>
                <w:lang w:val="uk-UA" w:eastAsia="uk-UA"/>
              </w:rPr>
              <w:lastRenderedPageBreak/>
              <w:t xml:space="preserve">Альтернатива 2 </w:t>
            </w:r>
          </w:p>
          <w:p w:rsidR="007253E6" w:rsidRPr="0018789A" w:rsidRDefault="007253E6" w:rsidP="00623B32">
            <w:pPr>
              <w:spacing w:after="0" w:line="20" w:lineRule="atLeast"/>
              <w:ind w:left="142"/>
              <w:contextualSpacing/>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ind w:left="127" w:right="157"/>
              <w:contextualSpacing/>
              <w:jc w:val="both"/>
              <w:rPr>
                <w:rFonts w:ascii="Times New Roman" w:hAnsi="Times New Roman" w:cs="Times New Roman"/>
                <w:sz w:val="28"/>
                <w:szCs w:val="28"/>
                <w:lang w:val="uk-UA"/>
              </w:rPr>
            </w:pPr>
            <w:r w:rsidRPr="000E66DA">
              <w:rPr>
                <w:rFonts w:ascii="Times New Roman" w:hAnsi="Times New Roman" w:cs="Times New Roman"/>
                <w:b/>
                <w:sz w:val="28"/>
                <w:szCs w:val="28"/>
                <w:lang w:val="uk-UA"/>
              </w:rPr>
              <w:t xml:space="preserve">Прийняття проєкту </w:t>
            </w:r>
            <w:r w:rsidR="008A6476" w:rsidRPr="000E66DA">
              <w:rPr>
                <w:rFonts w:ascii="Times New Roman" w:hAnsi="Times New Roman" w:cs="Times New Roman"/>
                <w:b/>
                <w:sz w:val="28"/>
                <w:szCs w:val="28"/>
                <w:lang w:val="uk-UA"/>
              </w:rPr>
              <w:t>рішення</w:t>
            </w:r>
            <w:r w:rsidRPr="000E66DA">
              <w:rPr>
                <w:rFonts w:ascii="Times New Roman" w:hAnsi="Times New Roman" w:cs="Times New Roman"/>
                <w:sz w:val="28"/>
                <w:szCs w:val="28"/>
                <w:lang w:val="uk-UA"/>
              </w:rPr>
              <w:t xml:space="preserve">. </w:t>
            </w:r>
          </w:p>
          <w:p w:rsidR="007253E6" w:rsidRPr="000E66DA" w:rsidRDefault="007253E6" w:rsidP="00623B32">
            <w:pPr>
              <w:spacing w:after="0" w:line="20" w:lineRule="atLeast"/>
              <w:ind w:left="127" w:right="157"/>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 xml:space="preserve">Прийняття запропонованого проєкту </w:t>
            </w:r>
            <w:r w:rsidR="008A6476" w:rsidRPr="000E66DA">
              <w:rPr>
                <w:rFonts w:ascii="Times New Roman" w:hAnsi="Times New Roman" w:cs="Times New Roman"/>
                <w:sz w:val="28"/>
                <w:szCs w:val="28"/>
                <w:lang w:val="uk-UA"/>
              </w:rPr>
              <w:t>рішення</w:t>
            </w:r>
            <w:r w:rsidRPr="000E66DA">
              <w:rPr>
                <w:rFonts w:ascii="Times New Roman" w:hAnsi="Times New Roman" w:cs="Times New Roman"/>
                <w:sz w:val="28"/>
                <w:szCs w:val="28"/>
                <w:lang w:val="uk-UA"/>
              </w:rPr>
              <w:t xml:space="preserve"> необхідне для виконання положень  Закону України </w:t>
            </w:r>
            <w:r w:rsidRPr="000E66DA">
              <w:rPr>
                <w:rFonts w:ascii="Times New Roman" w:hAnsi="Times New Roman" w:cs="Times New Roman"/>
                <w:sz w:val="28"/>
                <w:szCs w:val="28"/>
                <w:lang w:val="uk-UA" w:eastAsia="uk-UA"/>
              </w:rPr>
              <w:t xml:space="preserve">«Про державне регулювання діяльності щодо організації та проведення азартних ігор» </w:t>
            </w:r>
            <w:r w:rsidRPr="000E66DA">
              <w:rPr>
                <w:rFonts w:ascii="Times New Roman" w:hAnsi="Times New Roman" w:cs="Times New Roman"/>
                <w:sz w:val="28"/>
                <w:szCs w:val="28"/>
                <w:lang w:val="uk-UA"/>
              </w:rPr>
              <w:t xml:space="preserve">та дозволить усунути прогалини нормативно-правового регулювання. </w:t>
            </w:r>
          </w:p>
          <w:p w:rsidR="007253E6" w:rsidRPr="000E66DA" w:rsidRDefault="007253E6" w:rsidP="00B62C7A">
            <w:pPr>
              <w:spacing w:after="0" w:line="20" w:lineRule="atLeast"/>
              <w:ind w:left="127" w:right="157"/>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 xml:space="preserve">Проєктом </w:t>
            </w:r>
            <w:r w:rsidR="008A6476" w:rsidRPr="000E66DA">
              <w:rPr>
                <w:rFonts w:ascii="Times New Roman" w:hAnsi="Times New Roman" w:cs="Times New Roman"/>
                <w:sz w:val="28"/>
                <w:szCs w:val="28"/>
                <w:lang w:val="uk-UA"/>
              </w:rPr>
              <w:t>рішення</w:t>
            </w:r>
            <w:r w:rsidR="00B62C7A" w:rsidRPr="000E66DA">
              <w:rPr>
                <w:rFonts w:ascii="Times New Roman" w:hAnsi="Times New Roman" w:cs="Times New Roman"/>
                <w:sz w:val="28"/>
                <w:szCs w:val="28"/>
                <w:lang w:val="uk-UA"/>
              </w:rPr>
              <w:t xml:space="preserve"> визначаються перелік, форми та </w:t>
            </w:r>
            <w:r w:rsidRPr="000E66DA">
              <w:rPr>
                <w:rFonts w:ascii="Times New Roman" w:hAnsi="Times New Roman" w:cs="Times New Roman"/>
                <w:sz w:val="28"/>
                <w:szCs w:val="28"/>
                <w:lang w:val="uk-UA"/>
              </w:rPr>
              <w:t>порядок</w:t>
            </w:r>
            <w:r w:rsidR="008A6476" w:rsidRPr="000E66DA">
              <w:rPr>
                <w:rFonts w:ascii="Times New Roman" w:hAnsi="Times New Roman" w:cs="Times New Roman"/>
                <w:sz w:val="28"/>
                <w:szCs w:val="28"/>
                <w:lang w:val="uk-UA"/>
              </w:rPr>
              <w:t xml:space="preserve"> подання звітності організаторами азартних ігор</w:t>
            </w:r>
            <w:r w:rsidRPr="000E66DA">
              <w:rPr>
                <w:rFonts w:ascii="Times New Roman" w:hAnsi="Times New Roman" w:cs="Times New Roman"/>
                <w:sz w:val="28"/>
                <w:szCs w:val="28"/>
                <w:lang w:val="uk-UA"/>
              </w:rPr>
              <w:t xml:space="preserve">, що сприятиме покращенню стану дотримання </w:t>
            </w:r>
            <w:r w:rsidR="008A6476" w:rsidRPr="000E66DA">
              <w:rPr>
                <w:rFonts w:ascii="Times New Roman" w:hAnsi="Times New Roman" w:cs="Times New Roman"/>
                <w:sz w:val="28"/>
                <w:szCs w:val="28"/>
                <w:lang w:val="uk-UA"/>
              </w:rPr>
              <w:t>ними</w:t>
            </w:r>
            <w:r w:rsidRPr="000E66DA">
              <w:rPr>
                <w:rFonts w:ascii="Times New Roman" w:hAnsi="Times New Roman" w:cs="Times New Roman"/>
                <w:sz w:val="28"/>
                <w:szCs w:val="28"/>
                <w:lang w:val="uk-UA"/>
              </w:rPr>
              <w:t xml:space="preserve"> вимог законодавства</w:t>
            </w:r>
            <w:r w:rsidRPr="000E66DA">
              <w:rPr>
                <w:rFonts w:ascii="Times New Roman" w:hAnsi="Times New Roman" w:cs="Times New Roman"/>
                <w:sz w:val="28"/>
                <w:szCs w:val="28"/>
                <w:lang w:val="uk-UA" w:eastAsia="uk-UA"/>
              </w:rPr>
              <w:t xml:space="preserve">. Положення проєкту </w:t>
            </w:r>
            <w:r w:rsidR="008A6476" w:rsidRPr="000E66DA">
              <w:rPr>
                <w:rFonts w:ascii="Times New Roman" w:hAnsi="Times New Roman" w:cs="Times New Roman"/>
                <w:sz w:val="28"/>
                <w:szCs w:val="28"/>
                <w:lang w:val="uk-UA" w:eastAsia="uk-UA"/>
              </w:rPr>
              <w:t>рішення</w:t>
            </w:r>
            <w:r w:rsidRPr="000E66DA">
              <w:rPr>
                <w:rFonts w:ascii="Times New Roman" w:hAnsi="Times New Roman" w:cs="Times New Roman"/>
                <w:sz w:val="28"/>
                <w:szCs w:val="28"/>
                <w:lang w:val="uk-UA" w:eastAsia="uk-UA"/>
              </w:rPr>
              <w:t xml:space="preserve"> також </w:t>
            </w:r>
            <w:r w:rsidRPr="000E66DA">
              <w:rPr>
                <w:rFonts w:ascii="Times New Roman" w:hAnsi="Times New Roman" w:cs="Times New Roman"/>
                <w:sz w:val="28"/>
                <w:szCs w:val="28"/>
                <w:lang w:val="uk-UA"/>
              </w:rPr>
              <w:t>сприя</w:t>
            </w:r>
            <w:r w:rsidR="008A6476" w:rsidRPr="000E66DA">
              <w:rPr>
                <w:rFonts w:ascii="Times New Roman" w:hAnsi="Times New Roman" w:cs="Times New Roman"/>
                <w:sz w:val="28"/>
                <w:szCs w:val="28"/>
                <w:lang w:val="uk-UA"/>
              </w:rPr>
              <w:t>тимуть</w:t>
            </w:r>
            <w:r w:rsidRPr="000E66DA">
              <w:rPr>
                <w:rFonts w:ascii="Times New Roman" w:hAnsi="Times New Roman" w:cs="Times New Roman"/>
                <w:sz w:val="28"/>
                <w:szCs w:val="28"/>
                <w:lang w:val="uk-UA"/>
              </w:rPr>
              <w:t xml:space="preserve"> д</w:t>
            </w:r>
            <w:r w:rsidR="003F0EB7" w:rsidRPr="000E66DA">
              <w:rPr>
                <w:rFonts w:ascii="Times New Roman" w:hAnsi="Times New Roman" w:cs="Times New Roman"/>
                <w:sz w:val="28"/>
                <w:szCs w:val="28"/>
                <w:lang w:val="uk-UA"/>
              </w:rPr>
              <w:t xml:space="preserve">отриманню принципів прозорості та </w:t>
            </w:r>
            <w:r w:rsidRPr="000E66DA">
              <w:rPr>
                <w:rFonts w:ascii="Times New Roman" w:hAnsi="Times New Roman" w:cs="Times New Roman"/>
                <w:sz w:val="28"/>
                <w:szCs w:val="28"/>
                <w:lang w:val="uk-UA"/>
              </w:rPr>
              <w:t>відкритості</w:t>
            </w:r>
            <w:r w:rsidR="008A6476" w:rsidRPr="000E66DA">
              <w:rPr>
                <w:rFonts w:ascii="Times New Roman" w:hAnsi="Times New Roman" w:cs="Times New Roman"/>
                <w:sz w:val="28"/>
                <w:szCs w:val="28"/>
                <w:lang w:val="uk-UA"/>
              </w:rPr>
              <w:t xml:space="preserve"> діяльності організаторів азартних ігор</w:t>
            </w:r>
            <w:r w:rsidRPr="000E66DA">
              <w:rPr>
                <w:rFonts w:ascii="Times New Roman" w:hAnsi="Times New Roman" w:cs="Times New Roman"/>
                <w:sz w:val="28"/>
                <w:szCs w:val="28"/>
                <w:lang w:val="uk-UA"/>
              </w:rPr>
              <w:t>.</w:t>
            </w:r>
          </w:p>
        </w:tc>
      </w:tr>
    </w:tbl>
    <w:p w:rsidR="007253E6" w:rsidRPr="000E66DA" w:rsidRDefault="007253E6" w:rsidP="007253E6">
      <w:pPr>
        <w:spacing w:after="0" w:line="20" w:lineRule="atLeast"/>
        <w:ind w:firstLine="708"/>
        <w:contextualSpacing/>
        <w:rPr>
          <w:rFonts w:ascii="Times New Roman" w:hAnsi="Times New Roman" w:cs="Times New Roman"/>
          <w:sz w:val="28"/>
          <w:szCs w:val="28"/>
          <w:lang w:val="uk-UA" w:eastAsia="uk-UA"/>
        </w:rPr>
      </w:pPr>
    </w:p>
    <w:p w:rsidR="007253E6" w:rsidRPr="000E66DA" w:rsidRDefault="007253E6" w:rsidP="007253E6">
      <w:pPr>
        <w:spacing w:after="0" w:line="20" w:lineRule="atLeast"/>
        <w:ind w:firstLine="708"/>
        <w:contextualSpacing/>
        <w:rPr>
          <w:rFonts w:ascii="Times New Roman" w:hAnsi="Times New Roman" w:cs="Times New Roman"/>
          <w:b/>
          <w:sz w:val="28"/>
          <w:szCs w:val="28"/>
          <w:lang w:val="uk-UA" w:eastAsia="uk-UA"/>
        </w:rPr>
      </w:pPr>
      <w:r w:rsidRPr="000E66DA">
        <w:rPr>
          <w:rFonts w:ascii="Times New Roman" w:hAnsi="Times New Roman" w:cs="Times New Roman"/>
          <w:b/>
          <w:sz w:val="28"/>
          <w:szCs w:val="28"/>
          <w:lang w:val="uk-UA" w:eastAsia="uk-UA"/>
        </w:rPr>
        <w:t>Оцінка впливу на сферу інтересів держави</w:t>
      </w:r>
    </w:p>
    <w:p w:rsidR="007253E6" w:rsidRPr="0018789A" w:rsidRDefault="007253E6" w:rsidP="007253E6">
      <w:pPr>
        <w:spacing w:after="0" w:line="20" w:lineRule="atLeast"/>
        <w:ind w:firstLine="708"/>
        <w:contextualSpacing/>
        <w:rPr>
          <w:rFonts w:ascii="Times New Roman" w:hAnsi="Times New Roman" w:cs="Times New Roman"/>
          <w:b/>
          <w:sz w:val="28"/>
          <w:szCs w:val="28"/>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000"/>
        <w:gridCol w:w="3844"/>
        <w:gridCol w:w="3795"/>
      </w:tblGrid>
      <w:tr w:rsidR="007253E6" w:rsidRPr="000E66DA" w:rsidTr="0018789A">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bookmarkStart w:id="17" w:name="n119"/>
            <w:bookmarkEnd w:id="17"/>
            <w:r w:rsidRPr="000E66DA">
              <w:rPr>
                <w:rFonts w:ascii="Times New Roman" w:hAnsi="Times New Roman" w:cs="Times New Roman"/>
                <w:b/>
                <w:bCs/>
                <w:sz w:val="28"/>
                <w:szCs w:val="28"/>
                <w:lang w:val="uk-UA" w:eastAsia="uk-UA"/>
              </w:rPr>
              <w:t>Вид альтернативи</w:t>
            </w: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r w:rsidRPr="000E66DA">
              <w:rPr>
                <w:rFonts w:ascii="Times New Roman" w:hAnsi="Times New Roman" w:cs="Times New Roman"/>
                <w:b/>
                <w:bCs/>
                <w:sz w:val="28"/>
                <w:szCs w:val="28"/>
                <w:lang w:val="uk-UA" w:eastAsia="uk-UA"/>
              </w:rPr>
              <w:t>Вигоди</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r w:rsidRPr="000E66DA">
              <w:rPr>
                <w:rFonts w:ascii="Times New Roman" w:hAnsi="Times New Roman" w:cs="Times New Roman"/>
                <w:b/>
                <w:bCs/>
                <w:sz w:val="28"/>
                <w:szCs w:val="28"/>
                <w:lang w:val="uk-UA" w:eastAsia="uk-UA"/>
              </w:rPr>
              <w:t>Витрати</w:t>
            </w:r>
          </w:p>
        </w:tc>
      </w:tr>
      <w:tr w:rsidR="007253E6" w:rsidRPr="0018789A" w:rsidTr="0018789A">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Альтернатива 1</w:t>
            </w:r>
          </w:p>
          <w:p w:rsidR="007253E6" w:rsidRPr="000E66DA" w:rsidRDefault="007253E6" w:rsidP="00623B32">
            <w:pPr>
              <w:spacing w:after="0" w:line="20" w:lineRule="atLeast"/>
              <w:contextualSpacing/>
              <w:rPr>
                <w:rFonts w:ascii="Times New Roman" w:hAnsi="Times New Roman" w:cs="Times New Roman"/>
                <w:sz w:val="28"/>
                <w:szCs w:val="28"/>
                <w:lang w:val="uk-UA" w:eastAsia="uk-UA"/>
              </w:rPr>
            </w:pP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center"/>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Відсутні</w:t>
            </w:r>
          </w:p>
          <w:p w:rsidR="00965BD4" w:rsidRPr="000E66DA" w:rsidRDefault="00965BD4" w:rsidP="00965BD4">
            <w:pPr>
              <w:pStyle w:val="rvps14"/>
              <w:spacing w:before="0" w:after="0"/>
              <w:ind w:left="147" w:right="139"/>
              <w:textAlignment w:val="baseline"/>
              <w:rPr>
                <w:sz w:val="28"/>
                <w:szCs w:val="28"/>
                <w:lang w:val="uk-UA"/>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680340" w:rsidRPr="000E66DA" w:rsidRDefault="007253E6" w:rsidP="0027639A">
            <w:pPr>
              <w:shd w:val="clear" w:color="auto" w:fill="FFFFFF"/>
              <w:suppressAutoHyphens w:val="0"/>
              <w:spacing w:after="0" w:line="240" w:lineRule="auto"/>
              <w:ind w:left="126" w:right="127"/>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Відсутність</w:t>
            </w:r>
            <w:r w:rsidRPr="000E66DA">
              <w:rPr>
                <w:rFonts w:ascii="Times New Roman" w:eastAsia="Times New Roman" w:hAnsi="Times New Roman" w:cs="Times New Roman"/>
                <w:sz w:val="28"/>
                <w:szCs w:val="28"/>
                <w:lang w:val="uk-UA" w:eastAsia="ru-RU"/>
              </w:rPr>
              <w:t xml:space="preserve"> </w:t>
            </w:r>
            <w:r w:rsidR="00680340" w:rsidRPr="000E66DA">
              <w:rPr>
                <w:rFonts w:ascii="Times New Roman" w:eastAsia="Times New Roman" w:hAnsi="Times New Roman" w:cs="Times New Roman"/>
                <w:sz w:val="28"/>
                <w:szCs w:val="28"/>
                <w:lang w:val="uk-UA" w:eastAsia="ru-RU"/>
              </w:rPr>
              <w:t xml:space="preserve">визначеного </w:t>
            </w:r>
            <w:r w:rsidR="00680340" w:rsidRPr="000E66DA">
              <w:rPr>
                <w:rFonts w:ascii="Times New Roman" w:hAnsi="Times New Roman" w:cs="Times New Roman"/>
                <w:sz w:val="28"/>
                <w:szCs w:val="28"/>
                <w:lang w:val="uk-UA"/>
              </w:rPr>
              <w:t xml:space="preserve">переліку, форм та </w:t>
            </w:r>
            <w:r w:rsidRPr="000E66DA">
              <w:rPr>
                <w:rFonts w:ascii="Times New Roman" w:eastAsia="Times New Roman" w:hAnsi="Times New Roman" w:cs="Times New Roman"/>
                <w:sz w:val="28"/>
                <w:szCs w:val="28"/>
                <w:lang w:val="uk-UA" w:eastAsia="ru-RU"/>
              </w:rPr>
              <w:t xml:space="preserve">порядку </w:t>
            </w:r>
            <w:r w:rsidR="009462C8" w:rsidRPr="000E66DA">
              <w:rPr>
                <w:rFonts w:ascii="Times New Roman" w:hAnsi="Times New Roman" w:cs="Times New Roman"/>
                <w:sz w:val="28"/>
                <w:szCs w:val="28"/>
                <w:lang w:val="uk-UA"/>
              </w:rPr>
              <w:t>подання звітності організаторами азартних ігор</w:t>
            </w:r>
            <w:r w:rsidR="009462C8" w:rsidRPr="000E66DA">
              <w:rPr>
                <w:rFonts w:ascii="Times New Roman" w:eastAsia="Times New Roman" w:hAnsi="Times New Roman" w:cs="Times New Roman"/>
                <w:sz w:val="28"/>
                <w:szCs w:val="28"/>
                <w:lang w:val="uk-UA" w:eastAsia="ru-RU"/>
              </w:rPr>
              <w:t xml:space="preserve"> </w:t>
            </w:r>
            <w:r w:rsidRPr="000E66DA">
              <w:rPr>
                <w:rFonts w:ascii="Times New Roman" w:eastAsia="Times New Roman" w:hAnsi="Times New Roman" w:cs="Times New Roman"/>
                <w:sz w:val="28"/>
                <w:szCs w:val="28"/>
                <w:lang w:val="uk-UA" w:eastAsia="ru-RU"/>
              </w:rPr>
              <w:t xml:space="preserve">призведе до </w:t>
            </w:r>
            <w:r w:rsidR="005F6D03" w:rsidRPr="000E66DA">
              <w:rPr>
                <w:rFonts w:ascii="Times New Roman" w:eastAsia="Times New Roman" w:hAnsi="Times New Roman" w:cs="Times New Roman"/>
                <w:sz w:val="28"/>
                <w:szCs w:val="28"/>
                <w:lang w:val="uk-UA" w:eastAsia="ru-RU"/>
              </w:rPr>
              <w:t>неможливості</w:t>
            </w:r>
            <w:r w:rsidR="00CC2EDE" w:rsidRPr="000E66DA">
              <w:rPr>
                <w:rFonts w:ascii="Times New Roman" w:hAnsi="Times New Roman" w:cs="Times New Roman"/>
                <w:sz w:val="28"/>
                <w:szCs w:val="28"/>
                <w:lang w:val="uk-UA" w:eastAsia="uk-UA"/>
              </w:rPr>
              <w:t xml:space="preserve"> забезпеч</w:t>
            </w:r>
            <w:r w:rsidR="00F73B08" w:rsidRPr="000E66DA">
              <w:rPr>
                <w:rFonts w:ascii="Times New Roman" w:hAnsi="Times New Roman" w:cs="Times New Roman"/>
                <w:sz w:val="28"/>
                <w:szCs w:val="28"/>
                <w:lang w:val="uk-UA" w:eastAsia="uk-UA"/>
              </w:rPr>
              <w:t>ення</w:t>
            </w:r>
            <w:r w:rsidR="00CC2EDE" w:rsidRPr="000E66DA">
              <w:rPr>
                <w:rFonts w:ascii="Times New Roman" w:hAnsi="Times New Roman" w:cs="Times New Roman"/>
                <w:sz w:val="28"/>
                <w:szCs w:val="28"/>
                <w:lang w:val="uk-UA" w:eastAsia="uk-UA"/>
              </w:rPr>
              <w:t xml:space="preserve"> </w:t>
            </w:r>
            <w:r w:rsidR="00F73B08" w:rsidRPr="000E66DA">
              <w:rPr>
                <w:rFonts w:ascii="Times New Roman" w:hAnsi="Times New Roman" w:cs="Times New Roman"/>
                <w:sz w:val="28"/>
                <w:szCs w:val="28"/>
                <w:lang w:val="uk-UA" w:eastAsia="uk-UA"/>
              </w:rPr>
              <w:t>періодичного отримання інформації про діяльність організаторів азартних ігор, зокрема, дотримання ними організаційних, матеріально-технічних та фінансово-економічних вимог, встановлених</w:t>
            </w:r>
            <w:r w:rsidR="00F73B08" w:rsidRPr="000E66DA">
              <w:rPr>
                <w:rFonts w:ascii="Times New Roman" w:eastAsia="Times New Roman" w:hAnsi="Times New Roman" w:cs="Times New Roman"/>
                <w:sz w:val="28"/>
                <w:szCs w:val="28"/>
                <w:lang w:val="uk-UA" w:eastAsia="uk-UA"/>
              </w:rPr>
              <w:t xml:space="preserve"> </w:t>
            </w:r>
            <w:r w:rsidR="00F73B08" w:rsidRPr="000E66DA">
              <w:rPr>
                <w:rFonts w:ascii="Times New Roman" w:hAnsi="Times New Roman" w:cs="Times New Roman"/>
                <w:sz w:val="28"/>
                <w:szCs w:val="28"/>
                <w:lang w:val="uk-UA" w:eastAsia="uk-UA"/>
              </w:rPr>
              <w:t>Ліцензійними умовами</w:t>
            </w:r>
            <w:r w:rsidR="00680340" w:rsidRPr="000E66DA">
              <w:rPr>
                <w:rFonts w:ascii="Times New Roman" w:hAnsi="Times New Roman" w:cs="Times New Roman"/>
                <w:sz w:val="28"/>
                <w:szCs w:val="28"/>
                <w:lang w:val="uk-UA" w:eastAsia="uk-UA"/>
              </w:rPr>
              <w:t>.</w:t>
            </w:r>
            <w:r w:rsidR="00763188" w:rsidRPr="000E66DA">
              <w:rPr>
                <w:rFonts w:ascii="Times New Roman" w:hAnsi="Times New Roman" w:cs="Times New Roman"/>
                <w:sz w:val="28"/>
                <w:szCs w:val="28"/>
                <w:lang w:val="uk-UA" w:eastAsia="uk-UA"/>
              </w:rPr>
              <w:t xml:space="preserve"> </w:t>
            </w:r>
          </w:p>
          <w:p w:rsidR="00EA386E" w:rsidRPr="000E66DA" w:rsidRDefault="00F73B08" w:rsidP="0027639A">
            <w:pPr>
              <w:shd w:val="clear" w:color="auto" w:fill="FFFFFF"/>
              <w:suppressAutoHyphens w:val="0"/>
              <w:spacing w:after="0" w:line="240" w:lineRule="auto"/>
              <w:ind w:left="126" w:right="127"/>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 xml:space="preserve">У свою чергу, відсутність  інформації про діяльність організаторів азартних ігор </w:t>
            </w:r>
            <w:r w:rsidR="00F91EB8" w:rsidRPr="000E66DA">
              <w:rPr>
                <w:rFonts w:ascii="Times New Roman" w:hAnsi="Times New Roman" w:cs="Times New Roman"/>
                <w:sz w:val="28"/>
                <w:szCs w:val="28"/>
                <w:lang w:val="uk-UA" w:eastAsia="uk-UA"/>
              </w:rPr>
              <w:t xml:space="preserve"> </w:t>
            </w:r>
            <w:r w:rsidRPr="000E66DA">
              <w:rPr>
                <w:rFonts w:ascii="Times New Roman" w:hAnsi="Times New Roman" w:cs="Times New Roman"/>
                <w:sz w:val="28"/>
                <w:szCs w:val="28"/>
                <w:lang w:val="uk-UA" w:eastAsia="uk-UA"/>
              </w:rPr>
              <w:t xml:space="preserve">унеможливлює проведення КРАІЛ повноцінного моніторингу діяльності у сфері організації та </w:t>
            </w:r>
            <w:r w:rsidRPr="000E66DA">
              <w:rPr>
                <w:rFonts w:ascii="Times New Roman" w:hAnsi="Times New Roman" w:cs="Times New Roman"/>
                <w:sz w:val="28"/>
                <w:szCs w:val="28"/>
                <w:lang w:val="uk-UA" w:eastAsia="uk-UA"/>
              </w:rPr>
              <w:lastRenderedPageBreak/>
              <w:t>проведення азартних ігор та</w:t>
            </w:r>
            <w:r w:rsidR="00F91EB8" w:rsidRPr="000E66DA">
              <w:rPr>
                <w:rFonts w:ascii="Times New Roman" w:hAnsi="Times New Roman" w:cs="Times New Roman"/>
                <w:sz w:val="28"/>
                <w:szCs w:val="28"/>
                <w:lang w:val="uk-UA" w:eastAsia="uk-UA"/>
              </w:rPr>
              <w:t xml:space="preserve"> підготовки </w:t>
            </w:r>
            <w:r w:rsidRPr="000E66DA">
              <w:rPr>
                <w:rFonts w:ascii="Times New Roman" w:hAnsi="Times New Roman" w:cs="Times New Roman"/>
                <w:sz w:val="28"/>
                <w:szCs w:val="28"/>
                <w:lang w:val="uk-UA" w:eastAsia="uk-UA"/>
              </w:rPr>
              <w:t xml:space="preserve">якісного </w:t>
            </w:r>
            <w:r w:rsidR="00F91EB8" w:rsidRPr="000E66DA">
              <w:rPr>
                <w:rFonts w:ascii="Times New Roman" w:hAnsi="Times New Roman" w:cs="Times New Roman"/>
                <w:sz w:val="28"/>
                <w:szCs w:val="28"/>
                <w:lang w:val="uk-UA" w:eastAsia="uk-UA"/>
              </w:rPr>
              <w:t xml:space="preserve">річного звіту КРАІЛ та аналітичних матеріалів щодо стану </w:t>
            </w:r>
            <w:r w:rsidR="00EA386E" w:rsidRPr="000E66DA">
              <w:rPr>
                <w:rFonts w:ascii="Times New Roman" w:hAnsi="Times New Roman" w:cs="Times New Roman"/>
                <w:sz w:val="28"/>
                <w:szCs w:val="28"/>
                <w:lang w:val="uk-UA" w:eastAsia="uk-UA"/>
              </w:rPr>
              <w:t>і розвитку сфери азартних ігор.</w:t>
            </w:r>
          </w:p>
        </w:tc>
      </w:tr>
      <w:tr w:rsidR="007253E6" w:rsidRPr="000E66DA" w:rsidTr="0018789A">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lastRenderedPageBreak/>
              <w:t>Альтернатива 2</w:t>
            </w:r>
          </w:p>
          <w:p w:rsidR="007253E6" w:rsidRPr="000E66DA" w:rsidRDefault="007253E6" w:rsidP="00623B32">
            <w:pPr>
              <w:spacing w:after="0" w:line="20" w:lineRule="atLeast"/>
              <w:contextualSpacing/>
              <w:rPr>
                <w:rFonts w:ascii="Times New Roman" w:hAnsi="Times New Roman" w:cs="Times New Roman"/>
                <w:sz w:val="28"/>
                <w:szCs w:val="28"/>
                <w:lang w:val="uk-UA" w:eastAsia="uk-UA"/>
              </w:rPr>
            </w:pP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ind w:left="147" w:right="127" w:firstLine="19"/>
              <w:contextualSpacing/>
              <w:jc w:val="both"/>
              <w:rPr>
                <w:rFonts w:ascii="Times New Roman" w:hAnsi="Times New Roman" w:cs="Times New Roman"/>
                <w:iCs/>
                <w:sz w:val="28"/>
                <w:szCs w:val="28"/>
                <w:lang w:val="uk-UA"/>
              </w:rPr>
            </w:pPr>
            <w:r w:rsidRPr="000E66DA">
              <w:rPr>
                <w:rFonts w:ascii="Times New Roman" w:hAnsi="Times New Roman" w:cs="Times New Roman"/>
                <w:iCs/>
                <w:sz w:val="28"/>
                <w:szCs w:val="28"/>
                <w:lang w:val="uk-UA"/>
              </w:rPr>
              <w:t xml:space="preserve">Прийняття регуляторного акта забезпечить: </w:t>
            </w:r>
          </w:p>
          <w:p w:rsidR="007253E6" w:rsidRPr="000E66DA" w:rsidRDefault="007253E6" w:rsidP="007253E6">
            <w:pPr>
              <w:pStyle w:val="a8"/>
              <w:numPr>
                <w:ilvl w:val="0"/>
                <w:numId w:val="3"/>
              </w:numPr>
              <w:tabs>
                <w:tab w:val="left" w:pos="430"/>
              </w:tabs>
              <w:spacing w:after="0" w:line="20" w:lineRule="atLeast"/>
              <w:ind w:left="147" w:right="127" w:firstLine="19"/>
              <w:jc w:val="both"/>
              <w:rPr>
                <w:rFonts w:ascii="Times New Roman" w:hAnsi="Times New Roman" w:cs="Times New Roman"/>
                <w:sz w:val="28"/>
                <w:szCs w:val="28"/>
                <w:lang w:val="uk-UA"/>
              </w:rPr>
            </w:pPr>
            <w:r w:rsidRPr="000E66DA">
              <w:rPr>
                <w:rFonts w:ascii="Times New Roman" w:hAnsi="Times New Roman" w:cs="Times New Roman"/>
                <w:iCs/>
                <w:sz w:val="28"/>
                <w:szCs w:val="28"/>
                <w:lang w:val="uk-UA"/>
              </w:rPr>
              <w:t xml:space="preserve">виконання вимог </w:t>
            </w:r>
            <w:r w:rsidRPr="000E66DA">
              <w:rPr>
                <w:rFonts w:ascii="Times New Roman" w:hAnsi="Times New Roman" w:cs="Times New Roman"/>
                <w:sz w:val="28"/>
                <w:szCs w:val="28"/>
                <w:lang w:val="uk-UA"/>
              </w:rPr>
              <w:t xml:space="preserve"> Закону України «</w:t>
            </w:r>
            <w:hyperlink r:id="rId10" w:history="1">
              <w:r w:rsidRPr="000E66DA">
                <w:rPr>
                  <w:rFonts w:ascii="Times New Roman" w:hAnsi="Times New Roman" w:cs="Times New Roman"/>
                  <w:sz w:val="28"/>
                  <w:szCs w:val="28"/>
                  <w:lang w:val="uk-UA" w:eastAsia="uk-UA"/>
                </w:rPr>
                <w:t>Про державне регулювання діяльності щодо організації та проведення азартних ігор</w:t>
              </w:r>
            </w:hyperlink>
            <w:r w:rsidRPr="000E66DA">
              <w:rPr>
                <w:rFonts w:ascii="Times New Roman" w:hAnsi="Times New Roman" w:cs="Times New Roman"/>
                <w:sz w:val="28"/>
                <w:szCs w:val="28"/>
                <w:lang w:val="uk-UA"/>
              </w:rPr>
              <w:t>»;</w:t>
            </w:r>
          </w:p>
          <w:p w:rsidR="008911DC" w:rsidRPr="000E66DA" w:rsidRDefault="008911DC" w:rsidP="007253E6">
            <w:pPr>
              <w:pStyle w:val="a8"/>
              <w:numPr>
                <w:ilvl w:val="0"/>
                <w:numId w:val="3"/>
              </w:numPr>
              <w:tabs>
                <w:tab w:val="left" w:pos="430"/>
              </w:tabs>
              <w:spacing w:after="0" w:line="20" w:lineRule="atLeast"/>
              <w:ind w:left="147" w:right="127" w:firstLine="19"/>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проведення КРАІЛ повноцінного моніторингу діяльності у сфері організації та проведення азартних ігор;</w:t>
            </w:r>
          </w:p>
          <w:p w:rsidR="007253E6" w:rsidRPr="000E66DA" w:rsidRDefault="00EA386E" w:rsidP="007253E6">
            <w:pPr>
              <w:pStyle w:val="a8"/>
              <w:numPr>
                <w:ilvl w:val="0"/>
                <w:numId w:val="3"/>
              </w:numPr>
              <w:tabs>
                <w:tab w:val="left" w:pos="430"/>
              </w:tabs>
              <w:spacing w:after="0" w:line="20" w:lineRule="atLeast"/>
              <w:ind w:left="147" w:right="127" w:firstLine="19"/>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забезпечення</w:t>
            </w:r>
            <w:r w:rsidR="007253E6" w:rsidRPr="000E66DA">
              <w:rPr>
                <w:rFonts w:ascii="Times New Roman" w:hAnsi="Times New Roman" w:cs="Times New Roman"/>
                <w:sz w:val="28"/>
                <w:szCs w:val="28"/>
                <w:lang w:val="uk-UA"/>
              </w:rPr>
              <w:t xml:space="preserve"> дотримання організаторами азартних ігор вимог законодавства;</w:t>
            </w:r>
          </w:p>
          <w:p w:rsidR="007253E6" w:rsidRPr="000E66DA" w:rsidRDefault="00571A7A" w:rsidP="001703E1">
            <w:pPr>
              <w:pStyle w:val="a8"/>
              <w:numPr>
                <w:ilvl w:val="0"/>
                <w:numId w:val="3"/>
              </w:numPr>
              <w:tabs>
                <w:tab w:val="left" w:pos="430"/>
              </w:tabs>
              <w:spacing w:after="0" w:line="20" w:lineRule="atLeast"/>
              <w:ind w:left="147" w:right="127" w:firstLine="19"/>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забезпечення відкритості та прозорості діяльності організаторів азартних ігор.</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ind w:left="56" w:right="130" w:firstLine="19"/>
              <w:contextualSpacing/>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 xml:space="preserve">Незначні </w:t>
            </w:r>
            <w:r w:rsidR="00753012" w:rsidRPr="000E66DA">
              <w:rPr>
                <w:rFonts w:ascii="Times New Roman" w:hAnsi="Times New Roman" w:cs="Times New Roman"/>
                <w:sz w:val="28"/>
                <w:szCs w:val="28"/>
                <w:lang w:val="uk-UA" w:eastAsia="uk-UA"/>
              </w:rPr>
              <w:t>витрати, пов’язані з процесами збору, обробки, перевірки та аналізу інформації, що міститься у звітності організаторів азартних ігор</w:t>
            </w:r>
            <w:r w:rsidRPr="000E66DA">
              <w:rPr>
                <w:rFonts w:ascii="Times New Roman" w:hAnsi="Times New Roman" w:cs="Times New Roman"/>
                <w:sz w:val="28"/>
                <w:szCs w:val="28"/>
                <w:lang w:val="uk-UA" w:eastAsia="uk-UA"/>
              </w:rPr>
              <w:t xml:space="preserve">, які </w:t>
            </w:r>
            <w:r w:rsidRPr="00ED7BA7">
              <w:rPr>
                <w:rFonts w:ascii="Times New Roman" w:hAnsi="Times New Roman" w:cs="Times New Roman"/>
                <w:sz w:val="28"/>
                <w:szCs w:val="28"/>
                <w:lang w:val="uk-UA" w:eastAsia="uk-UA"/>
              </w:rPr>
              <w:t xml:space="preserve">складуть </w:t>
            </w:r>
            <w:r w:rsidR="00ED7BA7" w:rsidRPr="00ED7BA7">
              <w:rPr>
                <w:rFonts w:ascii="Times New Roman" w:hAnsi="Times New Roman" w:cs="Times New Roman"/>
                <w:sz w:val="28"/>
                <w:szCs w:val="28"/>
                <w:lang w:val="uk-UA" w:eastAsia="uk-UA"/>
              </w:rPr>
              <w:t xml:space="preserve">не більше </w:t>
            </w:r>
            <w:r w:rsidR="0074578B">
              <w:rPr>
                <w:rFonts w:ascii="Times New Roman" w:hAnsi="Times New Roman" w:cs="Times New Roman"/>
                <w:sz w:val="28"/>
                <w:szCs w:val="28"/>
                <w:lang w:val="uk-UA" w:eastAsia="uk-UA"/>
              </w:rPr>
              <w:t>4</w:t>
            </w:r>
            <w:r w:rsidR="00ED7BA7" w:rsidRPr="00ED7BA7">
              <w:rPr>
                <w:rFonts w:ascii="Times New Roman" w:hAnsi="Times New Roman" w:cs="Times New Roman"/>
                <w:sz w:val="28"/>
                <w:szCs w:val="28"/>
                <w:lang w:val="uk-UA" w:eastAsia="uk-UA"/>
              </w:rPr>
              <w:t>4</w:t>
            </w:r>
            <w:r w:rsidR="00ED7BA7">
              <w:rPr>
                <w:rFonts w:ascii="Times New Roman" w:hAnsi="Times New Roman" w:cs="Times New Roman"/>
                <w:sz w:val="28"/>
                <w:szCs w:val="28"/>
                <w:lang w:val="uk-UA" w:eastAsia="uk-UA"/>
              </w:rPr>
              <w:t xml:space="preserve"> тис. </w:t>
            </w:r>
            <w:proofErr w:type="spellStart"/>
            <w:r w:rsidR="00ED7BA7">
              <w:rPr>
                <w:rFonts w:ascii="Times New Roman" w:hAnsi="Times New Roman" w:cs="Times New Roman"/>
                <w:sz w:val="28"/>
                <w:szCs w:val="28"/>
                <w:lang w:val="uk-UA" w:eastAsia="uk-UA"/>
              </w:rPr>
              <w:t>грн</w:t>
            </w:r>
            <w:proofErr w:type="spellEnd"/>
            <w:r w:rsidRPr="00ED7BA7">
              <w:rPr>
                <w:rFonts w:ascii="Times New Roman" w:hAnsi="Times New Roman" w:cs="Times New Roman"/>
                <w:sz w:val="28"/>
                <w:szCs w:val="28"/>
                <w:lang w:val="uk-UA" w:eastAsia="uk-UA"/>
              </w:rPr>
              <w:t xml:space="preserve"> на рік.</w:t>
            </w:r>
          </w:p>
          <w:p w:rsidR="007253E6" w:rsidRPr="000E66DA" w:rsidRDefault="007253E6" w:rsidP="00623B32">
            <w:pPr>
              <w:spacing w:after="0" w:line="20" w:lineRule="atLeast"/>
              <w:ind w:left="56" w:right="130" w:firstLine="19"/>
              <w:contextualSpacing/>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Зазначені видатки складаються з витрат на оплату праці фахівців КРАІЛ та будуть здійснюватись в межах бюджетних призначень на функціонування КРАІЛ.</w:t>
            </w:r>
          </w:p>
          <w:p w:rsidR="007253E6" w:rsidRPr="000E66DA" w:rsidRDefault="007253E6" w:rsidP="00623B32">
            <w:pPr>
              <w:spacing w:after="0" w:line="20" w:lineRule="atLeast"/>
              <w:ind w:left="56" w:right="130" w:firstLine="19"/>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Необхідність у додатковому виділенні коштів з державного бюджету відсутня.</w:t>
            </w:r>
          </w:p>
        </w:tc>
      </w:tr>
    </w:tbl>
    <w:p w:rsidR="007253E6" w:rsidRPr="000E66DA" w:rsidRDefault="007253E6" w:rsidP="007253E6">
      <w:pPr>
        <w:spacing w:after="0" w:line="20" w:lineRule="atLeast"/>
        <w:ind w:firstLine="708"/>
        <w:contextualSpacing/>
        <w:rPr>
          <w:rFonts w:ascii="Times New Roman" w:hAnsi="Times New Roman" w:cs="Times New Roman"/>
          <w:sz w:val="28"/>
          <w:szCs w:val="28"/>
          <w:lang w:val="uk-UA" w:eastAsia="uk-UA"/>
        </w:rPr>
      </w:pPr>
      <w:bookmarkStart w:id="18" w:name="n121"/>
      <w:bookmarkStart w:id="19" w:name="n120"/>
      <w:bookmarkEnd w:id="18"/>
      <w:bookmarkEnd w:id="19"/>
    </w:p>
    <w:p w:rsidR="007253E6" w:rsidRPr="000E66DA" w:rsidRDefault="007253E6" w:rsidP="007253E6">
      <w:pPr>
        <w:spacing w:after="0" w:line="20" w:lineRule="atLeast"/>
        <w:ind w:firstLine="708"/>
        <w:contextualSpacing/>
        <w:rPr>
          <w:rFonts w:ascii="Times New Roman" w:hAnsi="Times New Roman" w:cs="Times New Roman"/>
          <w:b/>
          <w:sz w:val="28"/>
          <w:szCs w:val="28"/>
          <w:lang w:val="uk-UA"/>
        </w:rPr>
      </w:pPr>
      <w:r w:rsidRPr="000E66DA">
        <w:rPr>
          <w:rFonts w:ascii="Times New Roman" w:hAnsi="Times New Roman" w:cs="Times New Roman"/>
          <w:b/>
          <w:sz w:val="28"/>
          <w:szCs w:val="28"/>
          <w:lang w:val="uk-UA" w:eastAsia="uk-UA"/>
        </w:rPr>
        <w:t>Оцінка впливу на сферу інтересів громадян</w:t>
      </w:r>
    </w:p>
    <w:p w:rsidR="007253E6" w:rsidRPr="0018789A" w:rsidRDefault="007253E6" w:rsidP="007253E6">
      <w:pPr>
        <w:spacing w:after="0" w:line="20" w:lineRule="atLeast"/>
        <w:ind w:firstLine="708"/>
        <w:contextualSpacing/>
        <w:jc w:val="both"/>
        <w:rPr>
          <w:rFonts w:ascii="Times New Roman" w:hAnsi="Times New Roman" w:cs="Times New Roman"/>
          <w:sz w:val="28"/>
          <w:szCs w:val="28"/>
          <w:lang w:val="uk-UA"/>
        </w:rPr>
      </w:pPr>
    </w:p>
    <w:p w:rsidR="007253E6" w:rsidRPr="000E66DA" w:rsidRDefault="007253E6" w:rsidP="007253E6">
      <w:pPr>
        <w:spacing w:after="0" w:line="20" w:lineRule="atLeast"/>
        <w:ind w:firstLine="708"/>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 xml:space="preserve">Проект </w:t>
      </w:r>
      <w:r w:rsidR="0012401B" w:rsidRPr="000E66DA">
        <w:rPr>
          <w:rFonts w:ascii="Times New Roman" w:hAnsi="Times New Roman" w:cs="Times New Roman"/>
          <w:sz w:val="28"/>
          <w:szCs w:val="28"/>
          <w:lang w:val="uk-UA"/>
        </w:rPr>
        <w:t xml:space="preserve">рішення </w:t>
      </w:r>
      <w:r w:rsidRPr="000E66DA">
        <w:rPr>
          <w:rFonts w:ascii="Times New Roman" w:hAnsi="Times New Roman" w:cs="Times New Roman"/>
          <w:sz w:val="28"/>
          <w:szCs w:val="28"/>
          <w:lang w:val="uk-UA"/>
        </w:rPr>
        <w:t xml:space="preserve">врегульовує </w:t>
      </w:r>
      <w:r w:rsidR="007D067F" w:rsidRPr="000E66DA">
        <w:rPr>
          <w:rFonts w:ascii="Times New Roman" w:hAnsi="Times New Roman" w:cs="Times New Roman"/>
          <w:sz w:val="28"/>
          <w:szCs w:val="28"/>
          <w:lang w:val="uk-UA"/>
        </w:rPr>
        <w:t xml:space="preserve">взаємовідносини </w:t>
      </w:r>
      <w:r w:rsidRPr="000E66DA">
        <w:rPr>
          <w:rFonts w:ascii="Times New Roman" w:hAnsi="Times New Roman" w:cs="Times New Roman"/>
          <w:sz w:val="28"/>
          <w:szCs w:val="28"/>
          <w:lang w:val="uk-UA"/>
        </w:rPr>
        <w:t>КРАІЛ з організаторами азартних ігор</w:t>
      </w:r>
      <w:r w:rsidR="0012401B" w:rsidRPr="000E66DA">
        <w:rPr>
          <w:rFonts w:ascii="Times New Roman" w:hAnsi="Times New Roman" w:cs="Times New Roman"/>
          <w:sz w:val="28"/>
          <w:szCs w:val="28"/>
          <w:lang w:val="uk-UA"/>
        </w:rPr>
        <w:t xml:space="preserve"> </w:t>
      </w:r>
      <w:r w:rsidRPr="000E66DA">
        <w:rPr>
          <w:rFonts w:ascii="Times New Roman" w:hAnsi="Times New Roman" w:cs="Times New Roman"/>
          <w:sz w:val="28"/>
          <w:szCs w:val="28"/>
          <w:lang w:val="uk-UA"/>
        </w:rPr>
        <w:t xml:space="preserve"> під час </w:t>
      </w:r>
      <w:r w:rsidR="0012401B" w:rsidRPr="000E66DA">
        <w:rPr>
          <w:rFonts w:ascii="Times New Roman" w:hAnsi="Times New Roman" w:cs="Times New Roman"/>
          <w:sz w:val="28"/>
          <w:szCs w:val="28"/>
          <w:lang w:val="uk-UA"/>
        </w:rPr>
        <w:t>подання ними звітності</w:t>
      </w:r>
      <w:r w:rsidRPr="000E66DA">
        <w:rPr>
          <w:rFonts w:ascii="Times New Roman" w:hAnsi="Times New Roman" w:cs="Times New Roman"/>
          <w:sz w:val="28"/>
          <w:szCs w:val="28"/>
          <w:lang w:val="uk-UA"/>
        </w:rPr>
        <w:t>. Дія порядку не поширюється на інтереси громадян.</w:t>
      </w:r>
    </w:p>
    <w:p w:rsidR="007253E6" w:rsidRPr="000E66DA" w:rsidRDefault="007253E6" w:rsidP="007253E6">
      <w:pPr>
        <w:spacing w:after="0" w:line="20" w:lineRule="atLeast"/>
        <w:ind w:firstLine="708"/>
        <w:contextualSpacing/>
        <w:rPr>
          <w:rFonts w:ascii="Times New Roman" w:hAnsi="Times New Roman" w:cs="Times New Roman"/>
          <w:sz w:val="28"/>
          <w:szCs w:val="28"/>
          <w:lang w:val="uk-UA" w:eastAsia="uk-UA"/>
        </w:rPr>
      </w:pPr>
    </w:p>
    <w:p w:rsidR="007253E6" w:rsidRPr="000E66DA" w:rsidRDefault="007253E6" w:rsidP="007253E6">
      <w:pPr>
        <w:spacing w:after="0" w:line="20" w:lineRule="atLeast"/>
        <w:ind w:firstLine="708"/>
        <w:contextualSpacing/>
        <w:rPr>
          <w:rFonts w:ascii="Times New Roman" w:hAnsi="Times New Roman" w:cs="Times New Roman"/>
          <w:b/>
          <w:sz w:val="28"/>
          <w:szCs w:val="28"/>
          <w:lang w:val="uk-UA" w:eastAsia="uk-UA"/>
        </w:rPr>
      </w:pPr>
      <w:r w:rsidRPr="000E66DA">
        <w:rPr>
          <w:rFonts w:ascii="Times New Roman" w:hAnsi="Times New Roman" w:cs="Times New Roman"/>
          <w:b/>
          <w:sz w:val="28"/>
          <w:szCs w:val="28"/>
          <w:lang w:val="uk-UA" w:eastAsia="uk-UA"/>
        </w:rPr>
        <w:t>Оцінка впливу на сферу інтересів суб’єктів господарювання</w:t>
      </w:r>
    </w:p>
    <w:p w:rsidR="007253E6" w:rsidRPr="0018789A" w:rsidRDefault="007253E6" w:rsidP="007253E6">
      <w:pPr>
        <w:spacing w:after="0" w:line="20" w:lineRule="atLeast"/>
        <w:ind w:firstLine="708"/>
        <w:contextualSpacing/>
        <w:rPr>
          <w:rFonts w:ascii="Times New Roman" w:hAnsi="Times New Roman" w:cs="Times New Roman"/>
          <w:b/>
          <w:sz w:val="28"/>
          <w:szCs w:val="28"/>
          <w:lang w:val="uk-UA"/>
        </w:rPr>
      </w:pPr>
    </w:p>
    <w:tbl>
      <w:tblPr>
        <w:tblW w:w="4935" w:type="pct"/>
        <w:tblLayout w:type="fixed"/>
        <w:tblCellMar>
          <w:top w:w="15" w:type="dxa"/>
          <w:left w:w="15" w:type="dxa"/>
          <w:bottom w:w="15" w:type="dxa"/>
          <w:right w:w="15" w:type="dxa"/>
        </w:tblCellMar>
        <w:tblLook w:val="0000" w:firstRow="0" w:lastRow="0" w:firstColumn="0" w:lastColumn="0" w:noHBand="0" w:noVBand="0"/>
      </w:tblPr>
      <w:tblGrid>
        <w:gridCol w:w="2859"/>
        <w:gridCol w:w="1357"/>
        <w:gridCol w:w="1355"/>
        <w:gridCol w:w="1221"/>
        <w:gridCol w:w="1355"/>
        <w:gridCol w:w="1395"/>
      </w:tblGrid>
      <w:tr w:rsidR="007253E6" w:rsidRPr="000E66DA" w:rsidTr="00623B32">
        <w:tc>
          <w:tcPr>
            <w:tcW w:w="2991"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7253E6" w:rsidP="00623B32">
            <w:pPr>
              <w:spacing w:after="0" w:line="20" w:lineRule="atLeast"/>
              <w:ind w:firstLine="708"/>
              <w:contextualSpacing/>
              <w:jc w:val="both"/>
              <w:rPr>
                <w:rFonts w:ascii="Times New Roman" w:hAnsi="Times New Roman" w:cs="Times New Roman"/>
                <w:b/>
                <w:bCs/>
                <w:sz w:val="28"/>
                <w:szCs w:val="28"/>
                <w:lang w:val="uk-UA"/>
              </w:rPr>
            </w:pPr>
            <w:r w:rsidRPr="000E66DA">
              <w:rPr>
                <w:rFonts w:ascii="Times New Roman" w:hAnsi="Times New Roman" w:cs="Times New Roman"/>
                <w:b/>
                <w:bCs/>
                <w:sz w:val="28"/>
                <w:szCs w:val="28"/>
                <w:lang w:val="uk-UA" w:eastAsia="uk-UA"/>
              </w:rPr>
              <w:t>Показник</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r w:rsidRPr="000E66DA">
              <w:rPr>
                <w:rFonts w:ascii="Times New Roman" w:hAnsi="Times New Roman" w:cs="Times New Roman"/>
                <w:b/>
                <w:bCs/>
                <w:sz w:val="28"/>
                <w:szCs w:val="28"/>
                <w:lang w:val="uk-UA" w:eastAsia="uk-UA"/>
              </w:rPr>
              <w:t>Великі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r w:rsidRPr="000E66DA">
              <w:rPr>
                <w:rFonts w:ascii="Times New Roman" w:hAnsi="Times New Roman" w:cs="Times New Roman"/>
                <w:b/>
                <w:bCs/>
                <w:sz w:val="28"/>
                <w:szCs w:val="28"/>
                <w:lang w:val="uk-UA" w:eastAsia="uk-UA"/>
              </w:rPr>
              <w:t>Середні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r w:rsidRPr="000E66DA">
              <w:rPr>
                <w:rFonts w:ascii="Times New Roman" w:hAnsi="Times New Roman" w:cs="Times New Roman"/>
                <w:b/>
                <w:bCs/>
                <w:sz w:val="28"/>
                <w:szCs w:val="28"/>
                <w:lang w:val="uk-UA" w:eastAsia="uk-UA"/>
              </w:rPr>
              <w:t>Малі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proofErr w:type="spellStart"/>
            <w:r w:rsidRPr="000E66DA">
              <w:rPr>
                <w:rFonts w:ascii="Times New Roman" w:hAnsi="Times New Roman" w:cs="Times New Roman"/>
                <w:b/>
                <w:bCs/>
                <w:sz w:val="28"/>
                <w:szCs w:val="28"/>
                <w:lang w:val="uk-UA" w:eastAsia="uk-UA"/>
              </w:rPr>
              <w:t>Мікро</w:t>
            </w:r>
            <w:proofErr w:type="spellEnd"/>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r w:rsidRPr="000E66DA">
              <w:rPr>
                <w:rFonts w:ascii="Times New Roman" w:hAnsi="Times New Roman" w:cs="Times New Roman"/>
                <w:b/>
                <w:bCs/>
                <w:sz w:val="28"/>
                <w:szCs w:val="28"/>
                <w:lang w:val="uk-UA" w:eastAsia="uk-UA"/>
              </w:rPr>
              <w:t>Разом</w:t>
            </w:r>
          </w:p>
        </w:tc>
      </w:tr>
      <w:tr w:rsidR="007253E6" w:rsidRPr="000E66DA" w:rsidTr="00623B32">
        <w:tc>
          <w:tcPr>
            <w:tcW w:w="2991"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7253E6" w:rsidP="00623B32">
            <w:pPr>
              <w:spacing w:after="0" w:line="20" w:lineRule="atLeast"/>
              <w:ind w:left="142" w:right="124"/>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Кількість суб’єктів господарювання на ринку азартних ігор*</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8150F7" w:rsidP="001703E1">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D92BD5">
              <w:rPr>
                <w:rFonts w:ascii="Times New Roman" w:hAnsi="Times New Roman" w:cs="Times New Roman"/>
                <w:sz w:val="28"/>
                <w:szCs w:val="28"/>
                <w:lang w:val="uk-UA"/>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0B52E3" w:rsidP="00623B32">
            <w:pPr>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sz w:val="28"/>
                <w:szCs w:val="28"/>
                <w:lang w:val="uk-UA"/>
              </w:rPr>
              <w:t>1</w:t>
            </w:r>
            <w:r w:rsidR="001703E1">
              <w:rPr>
                <w:rFonts w:ascii="Times New Roman" w:hAnsi="Times New Roman" w:cs="Times New Roman"/>
                <w:sz w:val="28"/>
                <w:szCs w:val="28"/>
                <w:lang w:val="uk-UA"/>
              </w:rPr>
              <w:t>6</w:t>
            </w:r>
          </w:p>
          <w:p w:rsidR="007253E6" w:rsidRPr="000E66DA" w:rsidRDefault="007253E6" w:rsidP="00623B32">
            <w:pPr>
              <w:spacing w:after="0" w:line="20" w:lineRule="atLeast"/>
              <w:contextualSpacing/>
              <w:jc w:val="center"/>
              <w:rPr>
                <w:rFonts w:ascii="Times New Roman" w:hAnsi="Times New Roman" w:cs="Times New Roman"/>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7253E6" w:rsidP="00623B32">
            <w:pPr>
              <w:spacing w:after="0" w:line="20" w:lineRule="atLeast"/>
              <w:contextualSpacing/>
              <w:jc w:val="center"/>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w:t>
            </w:r>
          </w:p>
          <w:p w:rsidR="007253E6" w:rsidRPr="000E66DA" w:rsidRDefault="007253E6" w:rsidP="00623B32">
            <w:pPr>
              <w:spacing w:after="0" w:line="20" w:lineRule="atLeast"/>
              <w:contextualSpacing/>
              <w:jc w:val="center"/>
              <w:rPr>
                <w:rFonts w:ascii="Times New Roman" w:hAnsi="Times New Roman" w:cs="Times New Roman"/>
                <w:sz w:val="28"/>
                <w:szCs w:val="28"/>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7253E6" w:rsidP="00623B32">
            <w:pPr>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7253E6" w:rsidRPr="001703E1" w:rsidRDefault="008150F7" w:rsidP="00D92BD5">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D92BD5">
              <w:rPr>
                <w:rFonts w:ascii="Times New Roman" w:hAnsi="Times New Roman" w:cs="Times New Roman"/>
                <w:sz w:val="28"/>
                <w:szCs w:val="28"/>
                <w:lang w:val="uk-UA"/>
              </w:rPr>
              <w:t>4</w:t>
            </w:r>
          </w:p>
        </w:tc>
      </w:tr>
      <w:tr w:rsidR="007253E6" w:rsidRPr="000E66DA" w:rsidTr="00623B32">
        <w:tc>
          <w:tcPr>
            <w:tcW w:w="2991"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7253E6" w:rsidP="00623B32">
            <w:pPr>
              <w:spacing w:after="0" w:line="20" w:lineRule="atLeast"/>
              <w:ind w:left="142" w:right="124"/>
              <w:contextualSpacing/>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Загальна кількість суб’єктів господарювання, що підпадають під дію регулювання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8150F7" w:rsidP="001703E1">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D92BD5">
              <w:rPr>
                <w:rFonts w:ascii="Times New Roman" w:hAnsi="Times New Roman" w:cs="Times New Roman"/>
                <w:sz w:val="28"/>
                <w:szCs w:val="28"/>
                <w:lang w:val="uk-UA"/>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0B52E3" w:rsidP="001703E1">
            <w:pPr>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sz w:val="28"/>
                <w:szCs w:val="28"/>
                <w:lang w:val="uk-UA"/>
              </w:rPr>
              <w:t>1</w:t>
            </w:r>
            <w:r w:rsidR="001703E1">
              <w:rPr>
                <w:rFonts w:ascii="Times New Roman" w:hAnsi="Times New Roman" w:cs="Times New Roman"/>
                <w:sz w:val="28"/>
                <w:szCs w:val="28"/>
                <w:lang w:val="uk-UA"/>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E75B3D" w:rsidP="00623B32">
            <w:pPr>
              <w:spacing w:after="0" w:line="20" w:lineRule="atLeast"/>
              <w:contextualSpacing/>
              <w:jc w:val="center"/>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7253E6" w:rsidP="00623B32">
            <w:pPr>
              <w:spacing w:after="0" w:line="20" w:lineRule="atLeast"/>
              <w:contextualSpacing/>
              <w:jc w:val="center"/>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7253E6" w:rsidRPr="001703E1" w:rsidRDefault="008150F7" w:rsidP="00623B3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D92BD5">
              <w:rPr>
                <w:rFonts w:ascii="Times New Roman" w:hAnsi="Times New Roman" w:cs="Times New Roman"/>
                <w:sz w:val="28"/>
                <w:szCs w:val="28"/>
                <w:lang w:val="uk-UA"/>
              </w:rPr>
              <w:t>4</w:t>
            </w:r>
          </w:p>
        </w:tc>
      </w:tr>
      <w:tr w:rsidR="007253E6" w:rsidRPr="000E66DA" w:rsidTr="00623B32">
        <w:tc>
          <w:tcPr>
            <w:tcW w:w="2991"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7253E6" w:rsidP="00623B32">
            <w:pPr>
              <w:spacing w:after="0" w:line="20" w:lineRule="atLeast"/>
              <w:ind w:left="142" w:right="124"/>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lastRenderedPageBreak/>
              <w:t>Питома вага групи у загальній кількості, відсотків</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D92BD5" w:rsidP="00623B3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D92BD5" w:rsidP="001703E1">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E75B3D" w:rsidP="00623B32">
            <w:pPr>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sz w:val="28"/>
                <w:szCs w:val="28"/>
                <w:lang w:val="uk-U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7253E6" w:rsidP="00623B32">
            <w:pPr>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7253E6" w:rsidRPr="000E66DA" w:rsidRDefault="007253E6" w:rsidP="00623B32">
            <w:pPr>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100</w:t>
            </w:r>
          </w:p>
        </w:tc>
      </w:tr>
    </w:tbl>
    <w:p w:rsidR="007253E6" w:rsidRPr="0018789A" w:rsidRDefault="007253E6" w:rsidP="007253E6">
      <w:pPr>
        <w:spacing w:after="0" w:line="20" w:lineRule="atLeast"/>
        <w:ind w:firstLine="720"/>
        <w:contextualSpacing/>
        <w:jc w:val="both"/>
        <w:rPr>
          <w:rFonts w:ascii="Times New Roman" w:hAnsi="Times New Roman" w:cs="Times New Roman"/>
          <w:sz w:val="28"/>
          <w:szCs w:val="28"/>
          <w:lang w:val="uk-UA" w:eastAsia="uk-UA"/>
        </w:rPr>
      </w:pPr>
    </w:p>
    <w:p w:rsidR="007253E6" w:rsidRPr="000E66DA" w:rsidRDefault="007253E6" w:rsidP="007253E6">
      <w:pPr>
        <w:spacing w:after="0" w:line="20" w:lineRule="atLeast"/>
        <w:ind w:firstLine="720"/>
        <w:contextualSpacing/>
        <w:jc w:val="both"/>
        <w:rPr>
          <w:rFonts w:ascii="Times New Roman" w:hAnsi="Times New Roman" w:cs="Times New Roman"/>
          <w:sz w:val="24"/>
          <w:szCs w:val="24"/>
          <w:lang w:val="uk-UA"/>
        </w:rPr>
      </w:pPr>
      <w:r w:rsidRPr="000E66DA">
        <w:rPr>
          <w:rFonts w:ascii="Times New Roman" w:hAnsi="Times New Roman" w:cs="Times New Roman"/>
          <w:sz w:val="24"/>
          <w:szCs w:val="24"/>
          <w:lang w:val="uk-UA" w:eastAsia="uk-UA"/>
        </w:rPr>
        <w:t>* Кількість суб’єктів гос</w:t>
      </w:r>
      <w:r w:rsidR="001612A9" w:rsidRPr="000E66DA">
        <w:rPr>
          <w:rFonts w:ascii="Times New Roman" w:hAnsi="Times New Roman" w:cs="Times New Roman"/>
          <w:sz w:val="24"/>
          <w:szCs w:val="24"/>
          <w:lang w:val="uk-UA" w:eastAsia="uk-UA"/>
        </w:rPr>
        <w:t>подарювання, які станом на 01.</w:t>
      </w:r>
      <w:r w:rsidR="00D92BD5">
        <w:rPr>
          <w:rFonts w:ascii="Times New Roman" w:hAnsi="Times New Roman" w:cs="Times New Roman"/>
          <w:sz w:val="24"/>
          <w:szCs w:val="24"/>
          <w:lang w:val="uk-UA" w:eastAsia="uk-UA"/>
        </w:rPr>
        <w:t>01</w:t>
      </w:r>
      <w:r w:rsidRPr="000E66DA">
        <w:rPr>
          <w:rFonts w:ascii="Times New Roman" w:hAnsi="Times New Roman" w:cs="Times New Roman"/>
          <w:sz w:val="24"/>
          <w:szCs w:val="24"/>
          <w:lang w:val="uk-UA" w:eastAsia="uk-UA"/>
        </w:rPr>
        <w:t>.202</w:t>
      </w:r>
      <w:r w:rsidR="00D92BD5">
        <w:rPr>
          <w:rFonts w:ascii="Times New Roman" w:hAnsi="Times New Roman" w:cs="Times New Roman"/>
          <w:sz w:val="24"/>
          <w:szCs w:val="24"/>
          <w:lang w:val="uk-UA" w:eastAsia="uk-UA"/>
        </w:rPr>
        <w:t>2</w:t>
      </w:r>
      <w:r w:rsidRPr="000E66DA">
        <w:rPr>
          <w:rFonts w:ascii="Times New Roman" w:hAnsi="Times New Roman" w:cs="Times New Roman"/>
          <w:sz w:val="24"/>
          <w:szCs w:val="24"/>
          <w:lang w:val="uk-UA" w:eastAsia="uk-UA"/>
        </w:rPr>
        <w:t xml:space="preserve"> отримали ліцензію на провадження діяльності з організації та проведення азартних ігор, зокрема, на провадження діяльності казино у мережі Інтернет, у гральних закладах казино, у залах гральних автоматів, </w:t>
      </w:r>
      <w:r w:rsidR="00F12985" w:rsidRPr="000E66DA">
        <w:rPr>
          <w:rFonts w:ascii="Times New Roman" w:hAnsi="Times New Roman" w:cs="Times New Roman"/>
          <w:sz w:val="24"/>
          <w:szCs w:val="24"/>
          <w:lang w:val="uk-UA" w:eastAsia="uk-UA"/>
        </w:rPr>
        <w:t xml:space="preserve">гри </w:t>
      </w:r>
      <w:r w:rsidRPr="000E66DA">
        <w:rPr>
          <w:rFonts w:ascii="Times New Roman" w:hAnsi="Times New Roman" w:cs="Times New Roman"/>
          <w:sz w:val="24"/>
          <w:szCs w:val="24"/>
          <w:lang w:val="uk-UA" w:eastAsia="uk-UA"/>
        </w:rPr>
        <w:t>в покер в мережі Інтернет, а також на букмекерську діяльність</w:t>
      </w:r>
      <w:r w:rsidRPr="000E66DA">
        <w:rPr>
          <w:rFonts w:ascii="Times New Roman" w:hAnsi="Times New Roman" w:cs="Times New Roman"/>
          <w:sz w:val="24"/>
          <w:szCs w:val="24"/>
          <w:lang w:val="uk-UA"/>
        </w:rPr>
        <w:t xml:space="preserve">. </w:t>
      </w:r>
    </w:p>
    <w:p w:rsidR="007253E6" w:rsidRPr="000E66DA" w:rsidRDefault="007253E6" w:rsidP="007253E6">
      <w:pPr>
        <w:spacing w:after="0" w:line="20" w:lineRule="atLeast"/>
        <w:contextualSpacing/>
        <w:rPr>
          <w:rFonts w:ascii="Times New Roman" w:hAnsi="Times New Roman" w:cs="Times New Roman"/>
          <w:sz w:val="28"/>
          <w:szCs w:val="28"/>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13"/>
        <w:gridCol w:w="3931"/>
        <w:gridCol w:w="3795"/>
      </w:tblGrid>
      <w:tr w:rsidR="007253E6" w:rsidRPr="000E66DA" w:rsidTr="00623B32">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center"/>
              <w:rPr>
                <w:rFonts w:ascii="Times New Roman" w:hAnsi="Times New Roman" w:cs="Times New Roman"/>
                <w:b/>
                <w:sz w:val="28"/>
                <w:szCs w:val="28"/>
                <w:lang w:val="uk-UA"/>
              </w:rPr>
            </w:pPr>
            <w:bookmarkStart w:id="20" w:name="n143"/>
            <w:bookmarkEnd w:id="20"/>
            <w:r w:rsidRPr="000E66DA">
              <w:rPr>
                <w:rFonts w:ascii="Times New Roman" w:hAnsi="Times New Roman" w:cs="Times New Roman"/>
                <w:b/>
                <w:sz w:val="28"/>
                <w:szCs w:val="28"/>
                <w:lang w:val="uk-UA" w:eastAsia="uk-UA"/>
              </w:rPr>
              <w:t>Вид альтернативи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center"/>
              <w:rPr>
                <w:rFonts w:ascii="Times New Roman" w:hAnsi="Times New Roman" w:cs="Times New Roman"/>
                <w:b/>
                <w:sz w:val="28"/>
                <w:szCs w:val="28"/>
                <w:lang w:val="uk-UA"/>
              </w:rPr>
            </w:pPr>
            <w:r w:rsidRPr="000E66DA">
              <w:rPr>
                <w:rFonts w:ascii="Times New Roman" w:hAnsi="Times New Roman" w:cs="Times New Roman"/>
                <w:b/>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center"/>
              <w:rPr>
                <w:rFonts w:ascii="Times New Roman" w:hAnsi="Times New Roman" w:cs="Times New Roman"/>
                <w:b/>
                <w:sz w:val="28"/>
                <w:szCs w:val="28"/>
                <w:lang w:val="uk-UA"/>
              </w:rPr>
            </w:pPr>
            <w:r w:rsidRPr="000E66DA">
              <w:rPr>
                <w:rFonts w:ascii="Times New Roman" w:hAnsi="Times New Roman" w:cs="Times New Roman"/>
                <w:b/>
                <w:sz w:val="28"/>
                <w:szCs w:val="28"/>
                <w:lang w:val="uk-UA" w:eastAsia="uk-UA"/>
              </w:rPr>
              <w:t>Витрати</w:t>
            </w:r>
          </w:p>
        </w:tc>
      </w:tr>
      <w:tr w:rsidR="007253E6" w:rsidRPr="000E66DA" w:rsidTr="00623B32">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rPr>
                <w:rFonts w:ascii="Times New Roman" w:hAnsi="Times New Roman" w:cs="Times New Roman"/>
                <w:bCs/>
                <w:sz w:val="28"/>
                <w:szCs w:val="28"/>
                <w:lang w:val="uk-UA"/>
              </w:rPr>
            </w:pPr>
            <w:r w:rsidRPr="000E66DA">
              <w:rPr>
                <w:rFonts w:ascii="Times New Roman" w:hAnsi="Times New Roman" w:cs="Times New Roman"/>
                <w:bCs/>
                <w:sz w:val="28"/>
                <w:szCs w:val="28"/>
                <w:lang w:val="uk-UA" w:eastAsia="uk-UA"/>
              </w:rPr>
              <w:t>Альтернатива 1</w:t>
            </w:r>
          </w:p>
          <w:p w:rsidR="007253E6" w:rsidRPr="000E66DA" w:rsidRDefault="007253E6" w:rsidP="00623B32">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ind w:left="134" w:hanging="7"/>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F4C98" w:rsidRPr="000E66DA" w:rsidRDefault="007253E6" w:rsidP="00BF4C98">
            <w:pPr>
              <w:spacing w:after="0" w:line="20" w:lineRule="atLeast"/>
              <w:ind w:left="122" w:right="157" w:firstLine="4"/>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 xml:space="preserve">Відсутність  </w:t>
            </w:r>
            <w:r w:rsidR="00F12985" w:rsidRPr="000E66DA">
              <w:rPr>
                <w:rFonts w:ascii="Times New Roman" w:eastAsia="Times New Roman" w:hAnsi="Times New Roman" w:cs="Times New Roman"/>
                <w:sz w:val="28"/>
                <w:szCs w:val="28"/>
                <w:lang w:val="uk-UA" w:eastAsia="ru-RU"/>
              </w:rPr>
              <w:t xml:space="preserve">визначеного </w:t>
            </w:r>
            <w:r w:rsidR="00F12985" w:rsidRPr="000E66DA">
              <w:rPr>
                <w:rFonts w:ascii="Times New Roman" w:hAnsi="Times New Roman" w:cs="Times New Roman"/>
                <w:sz w:val="28"/>
                <w:szCs w:val="28"/>
                <w:lang w:val="uk-UA"/>
              </w:rPr>
              <w:t xml:space="preserve">переліку, форм та </w:t>
            </w:r>
            <w:r w:rsidR="00F12985" w:rsidRPr="000E66DA">
              <w:rPr>
                <w:rFonts w:ascii="Times New Roman" w:eastAsia="Times New Roman" w:hAnsi="Times New Roman" w:cs="Times New Roman"/>
                <w:sz w:val="28"/>
                <w:szCs w:val="28"/>
                <w:lang w:val="uk-UA" w:eastAsia="ru-RU"/>
              </w:rPr>
              <w:t xml:space="preserve">порядку </w:t>
            </w:r>
            <w:r w:rsidR="00F12985" w:rsidRPr="000E66DA">
              <w:rPr>
                <w:rFonts w:ascii="Times New Roman" w:hAnsi="Times New Roman" w:cs="Times New Roman"/>
                <w:sz w:val="28"/>
                <w:szCs w:val="28"/>
                <w:lang w:val="uk-UA"/>
              </w:rPr>
              <w:t>подання звітності організаторами азартних ігор</w:t>
            </w:r>
            <w:r w:rsidR="00F12985" w:rsidRPr="000E66DA">
              <w:rPr>
                <w:rFonts w:ascii="Times New Roman" w:eastAsia="Times New Roman" w:hAnsi="Times New Roman" w:cs="Times New Roman"/>
                <w:sz w:val="28"/>
                <w:szCs w:val="28"/>
                <w:lang w:val="uk-UA" w:eastAsia="ru-RU"/>
              </w:rPr>
              <w:t xml:space="preserve"> </w:t>
            </w:r>
            <w:r w:rsidR="00066B25" w:rsidRPr="000E66DA">
              <w:rPr>
                <w:rFonts w:ascii="Times New Roman" w:hAnsi="Times New Roman" w:cs="Times New Roman"/>
                <w:sz w:val="28"/>
                <w:szCs w:val="28"/>
                <w:lang w:val="uk-UA"/>
              </w:rPr>
              <w:t>не сприятиме забезпеченню прозорості та відкритості їх діяльності.</w:t>
            </w:r>
          </w:p>
          <w:p w:rsidR="007253E6" w:rsidRPr="000E66DA" w:rsidRDefault="007253E6" w:rsidP="00066B25">
            <w:pPr>
              <w:spacing w:after="0" w:line="20" w:lineRule="atLeast"/>
              <w:ind w:left="122" w:right="157" w:firstLine="4"/>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Це у свою чергу може призвести до репутаційних втрат організаторів</w:t>
            </w:r>
            <w:r w:rsidR="00F55653" w:rsidRPr="000E66DA">
              <w:rPr>
                <w:rFonts w:ascii="Times New Roman" w:hAnsi="Times New Roman" w:cs="Times New Roman"/>
                <w:sz w:val="28"/>
                <w:szCs w:val="28"/>
                <w:lang w:val="uk-UA"/>
              </w:rPr>
              <w:t xml:space="preserve"> азартних ігор</w:t>
            </w:r>
            <w:r w:rsidR="00EA386E" w:rsidRPr="000E66DA">
              <w:rPr>
                <w:rFonts w:ascii="Times New Roman" w:hAnsi="Times New Roman" w:cs="Times New Roman"/>
                <w:sz w:val="28"/>
                <w:szCs w:val="28"/>
                <w:lang w:val="uk-UA"/>
              </w:rPr>
              <w:t>.</w:t>
            </w:r>
            <w:r w:rsidRPr="000E66DA">
              <w:rPr>
                <w:rFonts w:ascii="Times New Roman" w:hAnsi="Times New Roman" w:cs="Times New Roman"/>
                <w:sz w:val="28"/>
                <w:szCs w:val="28"/>
                <w:lang w:val="uk-UA"/>
              </w:rPr>
              <w:t xml:space="preserve"> </w:t>
            </w:r>
          </w:p>
        </w:tc>
      </w:tr>
      <w:tr w:rsidR="007253E6" w:rsidRPr="0018789A" w:rsidTr="00623B32">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rPr>
                <w:rFonts w:ascii="Times New Roman" w:hAnsi="Times New Roman" w:cs="Times New Roman"/>
                <w:bCs/>
                <w:sz w:val="28"/>
                <w:szCs w:val="28"/>
                <w:lang w:val="uk-UA"/>
              </w:rPr>
            </w:pPr>
            <w:r w:rsidRPr="000E66DA">
              <w:rPr>
                <w:rFonts w:ascii="Times New Roman" w:hAnsi="Times New Roman" w:cs="Times New Roman"/>
                <w:bCs/>
                <w:sz w:val="28"/>
                <w:szCs w:val="28"/>
                <w:lang w:val="uk-UA" w:eastAsia="uk-UA"/>
              </w:rPr>
              <w:t>Альтернатива 2</w:t>
            </w:r>
          </w:p>
          <w:p w:rsidR="007253E6" w:rsidRPr="000E66DA" w:rsidRDefault="007253E6" w:rsidP="00623B32">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55653" w:rsidRPr="000E66DA" w:rsidRDefault="007253E6" w:rsidP="00623B32">
            <w:pPr>
              <w:spacing w:after="0" w:line="20" w:lineRule="atLeast"/>
              <w:ind w:left="134" w:right="128" w:hanging="7"/>
              <w:contextualSpacing/>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 xml:space="preserve">Прийняття проєкту </w:t>
            </w:r>
            <w:r w:rsidR="00B46266" w:rsidRPr="000E66DA">
              <w:rPr>
                <w:rFonts w:ascii="Times New Roman" w:hAnsi="Times New Roman" w:cs="Times New Roman"/>
                <w:sz w:val="28"/>
                <w:szCs w:val="28"/>
                <w:lang w:val="uk-UA" w:eastAsia="uk-UA"/>
              </w:rPr>
              <w:t>рішення</w:t>
            </w:r>
            <w:r w:rsidR="00F55653" w:rsidRPr="000E66DA">
              <w:rPr>
                <w:rFonts w:ascii="Times New Roman" w:hAnsi="Times New Roman" w:cs="Times New Roman"/>
                <w:sz w:val="28"/>
                <w:szCs w:val="28"/>
                <w:lang w:val="uk-UA" w:eastAsia="uk-UA"/>
              </w:rPr>
              <w:t xml:space="preserve"> забезпечить встановлення єдиних правил формування (відповідно до запропонован</w:t>
            </w:r>
            <w:r w:rsidR="00F12985" w:rsidRPr="000E66DA">
              <w:rPr>
                <w:rFonts w:ascii="Times New Roman" w:hAnsi="Times New Roman" w:cs="Times New Roman"/>
                <w:sz w:val="28"/>
                <w:szCs w:val="28"/>
                <w:lang w:val="uk-UA" w:eastAsia="uk-UA"/>
              </w:rPr>
              <w:t>их форм</w:t>
            </w:r>
            <w:r w:rsidR="00F55653" w:rsidRPr="000E66DA">
              <w:rPr>
                <w:rFonts w:ascii="Times New Roman" w:hAnsi="Times New Roman" w:cs="Times New Roman"/>
                <w:sz w:val="28"/>
                <w:szCs w:val="28"/>
                <w:lang w:val="uk-UA" w:eastAsia="uk-UA"/>
              </w:rPr>
              <w:t xml:space="preserve"> звітності) та подання (термін подання, звітний період тощо) інформації про діяльність організаторів азартних ігор.</w:t>
            </w:r>
          </w:p>
          <w:p w:rsidR="008C6C4F" w:rsidRPr="000E66DA" w:rsidRDefault="00F55653" w:rsidP="008911DC">
            <w:pPr>
              <w:spacing w:after="0" w:line="240" w:lineRule="auto"/>
              <w:ind w:left="127" w:right="127"/>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 xml:space="preserve">Крім того, запровадження запропонованого звітування стимулюватиме організаторів азартних ігор </w:t>
            </w:r>
            <w:r w:rsidRPr="000E66DA">
              <w:rPr>
                <w:rFonts w:ascii="Times New Roman" w:hAnsi="Times New Roman" w:cs="Times New Roman"/>
                <w:color w:val="000000"/>
                <w:sz w:val="28"/>
                <w:szCs w:val="28"/>
                <w:lang w:val="uk-UA"/>
              </w:rPr>
              <w:t>до ведення прозорої діяльності</w:t>
            </w:r>
            <w:r w:rsidR="008911DC" w:rsidRPr="000E66DA">
              <w:rPr>
                <w:rFonts w:ascii="Times New Roman" w:hAnsi="Times New Roman" w:cs="Times New Roman"/>
                <w:color w:val="000000"/>
                <w:sz w:val="28"/>
                <w:szCs w:val="28"/>
                <w:lang w:val="uk-UA"/>
              </w:rPr>
              <w:t xml:space="preserve"> та</w:t>
            </w:r>
            <w:r w:rsidRPr="000E66DA">
              <w:rPr>
                <w:rFonts w:ascii="Times New Roman" w:hAnsi="Times New Roman" w:cs="Times New Roman"/>
                <w:color w:val="000000"/>
                <w:sz w:val="28"/>
                <w:szCs w:val="28"/>
                <w:lang w:val="uk-UA"/>
              </w:rPr>
              <w:t xml:space="preserve"> </w:t>
            </w:r>
            <w:r w:rsidR="008911DC" w:rsidRPr="000E66DA">
              <w:rPr>
                <w:rFonts w:ascii="Times New Roman" w:hAnsi="Times New Roman" w:cs="Times New Roman"/>
                <w:color w:val="000000"/>
                <w:sz w:val="28"/>
                <w:szCs w:val="28"/>
                <w:lang w:val="uk-UA"/>
              </w:rPr>
              <w:t>підвищення</w:t>
            </w:r>
            <w:r w:rsidRPr="000E66DA">
              <w:rPr>
                <w:rFonts w:ascii="Times New Roman" w:hAnsi="Times New Roman" w:cs="Times New Roman"/>
                <w:color w:val="000000"/>
                <w:sz w:val="28"/>
                <w:szCs w:val="28"/>
                <w:lang w:val="uk-UA"/>
              </w:rPr>
              <w:t xml:space="preserve"> відповідальн</w:t>
            </w:r>
            <w:r w:rsidR="008911DC" w:rsidRPr="000E66DA">
              <w:rPr>
                <w:rFonts w:ascii="Times New Roman" w:hAnsi="Times New Roman" w:cs="Times New Roman"/>
                <w:color w:val="000000"/>
                <w:sz w:val="28"/>
                <w:szCs w:val="28"/>
                <w:lang w:val="uk-UA"/>
              </w:rPr>
              <w:t>ості</w:t>
            </w:r>
            <w:r w:rsidRPr="000E66DA">
              <w:rPr>
                <w:rFonts w:ascii="Times New Roman" w:hAnsi="Times New Roman" w:cs="Times New Roman"/>
                <w:color w:val="000000"/>
                <w:sz w:val="28"/>
                <w:szCs w:val="28"/>
                <w:lang w:val="uk-UA"/>
              </w:rPr>
              <w:t xml:space="preserve"> щодо дотримання </w:t>
            </w:r>
            <w:r w:rsidR="008911DC" w:rsidRPr="000E66DA">
              <w:rPr>
                <w:rFonts w:ascii="Times New Roman" w:hAnsi="Times New Roman" w:cs="Times New Roman"/>
                <w:color w:val="000000"/>
                <w:sz w:val="28"/>
                <w:szCs w:val="28"/>
                <w:lang w:val="uk-UA"/>
              </w:rPr>
              <w:t xml:space="preserve">ними </w:t>
            </w:r>
            <w:r w:rsidRPr="000E66DA">
              <w:rPr>
                <w:rFonts w:ascii="Times New Roman" w:hAnsi="Times New Roman" w:cs="Times New Roman"/>
                <w:color w:val="000000"/>
                <w:sz w:val="28"/>
                <w:szCs w:val="28"/>
                <w:lang w:val="uk-UA"/>
              </w:rPr>
              <w:t>вимог законодавства у сфері азартних ігор.</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843E11">
            <w:pPr>
              <w:spacing w:after="0" w:line="20" w:lineRule="atLeast"/>
              <w:ind w:left="122" w:right="157" w:firstLine="4"/>
              <w:contextualSpacing/>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 xml:space="preserve">Незначні адміністративні витрати суб’єктів господарювання на виконання процедурних вимог проєкту </w:t>
            </w:r>
            <w:r w:rsidR="00347CCE" w:rsidRPr="000E66DA">
              <w:rPr>
                <w:rFonts w:ascii="Times New Roman" w:hAnsi="Times New Roman" w:cs="Times New Roman"/>
                <w:sz w:val="28"/>
                <w:szCs w:val="28"/>
                <w:lang w:val="uk-UA" w:eastAsia="uk-UA"/>
              </w:rPr>
              <w:t>рішення</w:t>
            </w:r>
            <w:r w:rsidRPr="000E66DA">
              <w:rPr>
                <w:rFonts w:ascii="Times New Roman" w:hAnsi="Times New Roman" w:cs="Times New Roman"/>
                <w:sz w:val="28"/>
                <w:szCs w:val="28"/>
                <w:lang w:val="uk-UA" w:eastAsia="uk-UA"/>
              </w:rPr>
              <w:t xml:space="preserve">, а саме </w:t>
            </w:r>
            <w:r w:rsidR="00753012" w:rsidRPr="000E66DA">
              <w:rPr>
                <w:rFonts w:ascii="Times New Roman" w:hAnsi="Times New Roman" w:cs="Times New Roman"/>
                <w:sz w:val="28"/>
                <w:szCs w:val="28"/>
                <w:lang w:val="uk-UA" w:eastAsia="uk-UA"/>
              </w:rPr>
              <w:t xml:space="preserve">заповнення форм звітності орієнтовно </w:t>
            </w:r>
            <w:r w:rsidR="00753012" w:rsidRPr="004741BC">
              <w:rPr>
                <w:rFonts w:ascii="Times New Roman" w:hAnsi="Times New Roman" w:cs="Times New Roman"/>
                <w:sz w:val="28"/>
                <w:szCs w:val="28"/>
                <w:lang w:val="uk-UA" w:eastAsia="uk-UA"/>
              </w:rPr>
              <w:t xml:space="preserve">складуть </w:t>
            </w:r>
            <w:r w:rsidR="0074578B">
              <w:rPr>
                <w:rFonts w:ascii="Times New Roman" w:hAnsi="Times New Roman" w:cs="Times New Roman"/>
                <w:sz w:val="28"/>
                <w:szCs w:val="28"/>
                <w:lang w:val="uk-UA" w:eastAsia="uk-UA"/>
              </w:rPr>
              <w:t>1</w:t>
            </w:r>
            <w:r w:rsidR="00843E11">
              <w:rPr>
                <w:rFonts w:ascii="Times New Roman" w:hAnsi="Times New Roman" w:cs="Times New Roman"/>
                <w:sz w:val="28"/>
                <w:szCs w:val="28"/>
                <w:lang w:val="uk-UA" w:eastAsia="uk-UA"/>
              </w:rPr>
              <w:t>14</w:t>
            </w:r>
            <w:r w:rsidR="0074578B">
              <w:rPr>
                <w:rFonts w:ascii="Times New Roman" w:hAnsi="Times New Roman" w:cs="Times New Roman"/>
                <w:sz w:val="28"/>
                <w:szCs w:val="28"/>
                <w:lang w:val="uk-UA" w:eastAsia="uk-UA"/>
              </w:rPr>
              <w:t>,8</w:t>
            </w:r>
            <w:r w:rsidRPr="004741BC">
              <w:rPr>
                <w:rFonts w:ascii="Times New Roman" w:hAnsi="Times New Roman" w:cs="Times New Roman"/>
                <w:sz w:val="28"/>
                <w:szCs w:val="28"/>
                <w:lang w:val="uk-UA" w:eastAsia="uk-UA"/>
              </w:rPr>
              <w:t xml:space="preserve"> тис. грн. на рік або </w:t>
            </w:r>
            <w:r w:rsidR="004741BC" w:rsidRPr="004741BC">
              <w:rPr>
                <w:rFonts w:ascii="Times New Roman" w:hAnsi="Times New Roman" w:cs="Times New Roman"/>
                <w:sz w:val="28"/>
                <w:szCs w:val="28"/>
                <w:lang w:val="uk-UA" w:eastAsia="uk-UA"/>
              </w:rPr>
              <w:t>2,6 тис.</w:t>
            </w:r>
            <w:r w:rsidR="00ED7BA7">
              <w:rPr>
                <w:rFonts w:ascii="Times New Roman" w:hAnsi="Times New Roman" w:cs="Times New Roman"/>
                <w:sz w:val="28"/>
                <w:szCs w:val="28"/>
                <w:lang w:val="uk-UA" w:eastAsia="uk-UA"/>
              </w:rPr>
              <w:t xml:space="preserve"> грн. </w:t>
            </w:r>
            <w:r w:rsidRPr="000E66DA">
              <w:rPr>
                <w:rFonts w:ascii="Times New Roman" w:hAnsi="Times New Roman" w:cs="Times New Roman"/>
                <w:sz w:val="28"/>
                <w:szCs w:val="28"/>
                <w:lang w:val="uk-UA" w:eastAsia="uk-UA"/>
              </w:rPr>
              <w:t>в перерахунку на одного суб’єкта господарювання.</w:t>
            </w:r>
          </w:p>
        </w:tc>
      </w:tr>
    </w:tbl>
    <w:p w:rsidR="007253E6" w:rsidRPr="000E66DA" w:rsidRDefault="007253E6" w:rsidP="007253E6">
      <w:pPr>
        <w:pStyle w:val="rvps12"/>
        <w:spacing w:before="0" w:after="0" w:line="20" w:lineRule="atLeast"/>
        <w:contextualSpacing/>
        <w:jc w:val="center"/>
        <w:rPr>
          <w:b/>
          <w:sz w:val="28"/>
          <w:szCs w:val="28"/>
          <w:lang w:val="uk-UA" w:eastAsia="uk-UA"/>
        </w:rPr>
      </w:pPr>
      <w:bookmarkStart w:id="21" w:name="n188"/>
      <w:bookmarkStart w:id="22" w:name="n187"/>
      <w:bookmarkStart w:id="23" w:name="n186"/>
      <w:bookmarkStart w:id="24" w:name="n185"/>
      <w:bookmarkStart w:id="25" w:name="n184"/>
      <w:bookmarkStart w:id="26" w:name="n183"/>
      <w:bookmarkStart w:id="27" w:name="n182"/>
      <w:bookmarkStart w:id="28" w:name="n181"/>
      <w:bookmarkStart w:id="29" w:name="n180"/>
      <w:bookmarkStart w:id="30" w:name="n179"/>
      <w:bookmarkStart w:id="31" w:name="n149"/>
      <w:bookmarkStart w:id="32" w:name="n144"/>
      <w:bookmarkEnd w:id="21"/>
      <w:bookmarkEnd w:id="22"/>
      <w:bookmarkEnd w:id="23"/>
      <w:bookmarkEnd w:id="24"/>
      <w:bookmarkEnd w:id="25"/>
      <w:bookmarkEnd w:id="26"/>
      <w:bookmarkEnd w:id="27"/>
      <w:bookmarkEnd w:id="28"/>
      <w:bookmarkEnd w:id="29"/>
      <w:bookmarkEnd w:id="30"/>
      <w:bookmarkEnd w:id="31"/>
      <w:bookmarkEnd w:id="32"/>
    </w:p>
    <w:p w:rsidR="007253E6" w:rsidRPr="000E66DA" w:rsidRDefault="007253E6" w:rsidP="007253E6">
      <w:pPr>
        <w:spacing w:after="0" w:line="20" w:lineRule="atLeast"/>
        <w:ind w:firstLine="567"/>
        <w:contextualSpacing/>
        <w:jc w:val="both"/>
        <w:rPr>
          <w:rFonts w:ascii="Times New Roman" w:hAnsi="Times New Roman" w:cs="Times New Roman"/>
          <w:sz w:val="28"/>
          <w:szCs w:val="28"/>
          <w:lang w:val="uk-UA" w:eastAsia="uk-UA"/>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6640"/>
        <w:gridCol w:w="3028"/>
      </w:tblGrid>
      <w:tr w:rsidR="007253E6" w:rsidRPr="000E66DA" w:rsidTr="00623B32">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pStyle w:val="rvps12"/>
              <w:spacing w:before="0" w:after="0" w:line="20" w:lineRule="atLeast"/>
              <w:contextualSpacing/>
              <w:jc w:val="center"/>
              <w:rPr>
                <w:b/>
                <w:bCs/>
                <w:sz w:val="28"/>
                <w:szCs w:val="28"/>
                <w:lang w:val="uk-UA"/>
              </w:rPr>
            </w:pPr>
            <w:r w:rsidRPr="000E66DA">
              <w:rPr>
                <w:b/>
                <w:bCs/>
                <w:sz w:val="28"/>
                <w:szCs w:val="28"/>
                <w:lang w:val="uk-UA" w:eastAsia="uk-UA"/>
              </w:rPr>
              <w:t>Сумарні витрати за альтернативами</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pStyle w:val="rvps12"/>
              <w:spacing w:before="0" w:after="0" w:line="20" w:lineRule="atLeast"/>
              <w:contextualSpacing/>
              <w:jc w:val="center"/>
              <w:rPr>
                <w:b/>
                <w:bCs/>
                <w:sz w:val="28"/>
                <w:szCs w:val="28"/>
                <w:lang w:val="uk-UA"/>
              </w:rPr>
            </w:pPr>
            <w:r w:rsidRPr="000E66DA">
              <w:rPr>
                <w:b/>
                <w:bCs/>
                <w:sz w:val="28"/>
                <w:szCs w:val="28"/>
                <w:lang w:val="uk-UA" w:eastAsia="uk-UA"/>
              </w:rPr>
              <w:t>Сума витрат, гривень</w:t>
            </w:r>
          </w:p>
        </w:tc>
      </w:tr>
      <w:tr w:rsidR="007253E6" w:rsidRPr="000E66DA" w:rsidTr="00623B32">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pStyle w:val="rvps14"/>
              <w:spacing w:before="0" w:after="0" w:line="20" w:lineRule="atLeast"/>
              <w:ind w:left="142"/>
              <w:contextualSpacing/>
              <w:rPr>
                <w:sz w:val="28"/>
                <w:szCs w:val="28"/>
                <w:lang w:val="uk-UA" w:eastAsia="uk-UA"/>
              </w:rPr>
            </w:pPr>
            <w:r w:rsidRPr="000E66DA">
              <w:rPr>
                <w:sz w:val="28"/>
                <w:szCs w:val="28"/>
                <w:lang w:val="uk-UA" w:eastAsia="uk-UA"/>
              </w:rPr>
              <w:t>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«Витрати на одного суб’єкта господарювання великого і середнього підприємництва, які виникають внаслідок дії регуляторного акта»)</w:t>
            </w:r>
          </w:p>
          <w:p w:rsidR="00F12985" w:rsidRPr="000E66DA" w:rsidRDefault="00F12985" w:rsidP="00623B32">
            <w:pPr>
              <w:pStyle w:val="rvps14"/>
              <w:spacing w:before="0" w:after="0" w:line="20" w:lineRule="atLeast"/>
              <w:ind w:left="142"/>
              <w:contextualSpacing/>
              <w:rPr>
                <w:sz w:val="28"/>
                <w:szCs w:val="28"/>
                <w:lang w:val="uk-UA"/>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pStyle w:val="rvps14"/>
              <w:spacing w:before="0" w:after="0" w:line="20" w:lineRule="atLeast"/>
              <w:ind w:left="1068"/>
              <w:contextualSpacing/>
              <w:rPr>
                <w:sz w:val="28"/>
                <w:szCs w:val="28"/>
                <w:lang w:val="uk-UA"/>
              </w:rPr>
            </w:pPr>
            <w:r w:rsidRPr="000E66DA">
              <w:rPr>
                <w:sz w:val="28"/>
                <w:szCs w:val="28"/>
                <w:lang w:val="uk-UA" w:eastAsia="uk-UA"/>
              </w:rPr>
              <w:t>0 грн.</w:t>
            </w:r>
          </w:p>
        </w:tc>
      </w:tr>
      <w:tr w:rsidR="007253E6" w:rsidRPr="000E66DA" w:rsidTr="00623B32">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pStyle w:val="rvps14"/>
              <w:spacing w:before="0" w:after="0" w:line="20" w:lineRule="atLeast"/>
              <w:ind w:left="142"/>
              <w:contextualSpacing/>
              <w:rPr>
                <w:sz w:val="28"/>
                <w:szCs w:val="28"/>
                <w:lang w:val="uk-UA"/>
              </w:rPr>
            </w:pPr>
            <w:r w:rsidRPr="000E66DA">
              <w:rPr>
                <w:sz w:val="28"/>
                <w:szCs w:val="28"/>
                <w:lang w:val="uk-UA" w:eastAsia="uk-UA"/>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253E6" w:rsidRPr="004741BC" w:rsidRDefault="007253E6" w:rsidP="00623B32">
            <w:pPr>
              <w:pStyle w:val="rvps14"/>
              <w:spacing w:before="0" w:after="0" w:line="20" w:lineRule="atLeast"/>
              <w:contextualSpacing/>
              <w:jc w:val="center"/>
              <w:rPr>
                <w:sz w:val="28"/>
                <w:szCs w:val="28"/>
                <w:lang w:val="uk-UA"/>
              </w:rPr>
            </w:pPr>
            <w:r w:rsidRPr="004741BC">
              <w:rPr>
                <w:sz w:val="28"/>
                <w:szCs w:val="28"/>
                <w:lang w:val="uk-UA"/>
              </w:rPr>
              <w:t xml:space="preserve">Сумарні витрати суб’єктів великого та середнього бізнесу – </w:t>
            </w:r>
          </w:p>
          <w:p w:rsidR="007253E6" w:rsidRPr="000E66DA" w:rsidRDefault="00507FE4" w:rsidP="00623B32">
            <w:pPr>
              <w:pStyle w:val="rvps14"/>
              <w:spacing w:before="0" w:after="0" w:line="20" w:lineRule="atLeast"/>
              <w:contextualSpacing/>
              <w:jc w:val="center"/>
              <w:rPr>
                <w:sz w:val="12"/>
                <w:szCs w:val="12"/>
                <w:lang w:val="uk-UA"/>
              </w:rPr>
            </w:pPr>
            <w:r>
              <w:rPr>
                <w:sz w:val="28"/>
                <w:szCs w:val="28"/>
                <w:lang w:val="uk-UA"/>
              </w:rPr>
              <w:t>114780,16</w:t>
            </w:r>
            <w:r w:rsidR="007253E6" w:rsidRPr="004741BC">
              <w:rPr>
                <w:sz w:val="28"/>
                <w:szCs w:val="28"/>
                <w:lang w:val="uk-UA"/>
              </w:rPr>
              <w:t xml:space="preserve"> грн.</w:t>
            </w:r>
          </w:p>
          <w:p w:rsidR="007253E6" w:rsidRPr="000E66DA" w:rsidRDefault="007253E6" w:rsidP="00623B32">
            <w:pPr>
              <w:pStyle w:val="rvps14"/>
              <w:spacing w:before="0" w:after="0" w:line="20" w:lineRule="atLeast"/>
              <w:contextualSpacing/>
              <w:jc w:val="center"/>
              <w:rPr>
                <w:sz w:val="28"/>
                <w:szCs w:val="28"/>
                <w:highlight w:val="yellow"/>
                <w:lang w:val="uk-UA"/>
              </w:rPr>
            </w:pPr>
          </w:p>
        </w:tc>
      </w:tr>
    </w:tbl>
    <w:p w:rsidR="007253E6" w:rsidRPr="000E66DA" w:rsidRDefault="007253E6" w:rsidP="007253E6">
      <w:pPr>
        <w:pStyle w:val="rvps2"/>
        <w:shd w:val="clear" w:color="auto" w:fill="FFFFFF"/>
        <w:spacing w:before="0" w:after="0" w:line="20" w:lineRule="atLeast"/>
        <w:ind w:firstLine="708"/>
        <w:contextualSpacing/>
        <w:jc w:val="center"/>
        <w:rPr>
          <w:b/>
          <w:sz w:val="28"/>
          <w:szCs w:val="28"/>
        </w:rPr>
      </w:pPr>
    </w:p>
    <w:p w:rsidR="007253E6" w:rsidRPr="000E66DA" w:rsidRDefault="007253E6" w:rsidP="007253E6">
      <w:pPr>
        <w:pStyle w:val="rvps2"/>
        <w:shd w:val="clear" w:color="auto" w:fill="FFFFFF"/>
        <w:spacing w:before="0" w:after="0" w:line="20" w:lineRule="atLeast"/>
        <w:ind w:firstLine="708"/>
        <w:contextualSpacing/>
        <w:jc w:val="center"/>
        <w:rPr>
          <w:sz w:val="28"/>
          <w:szCs w:val="28"/>
        </w:rPr>
      </w:pPr>
      <w:r w:rsidRPr="000E66DA">
        <w:rPr>
          <w:b/>
          <w:sz w:val="28"/>
          <w:szCs w:val="28"/>
        </w:rPr>
        <w:t>IV. Вибір найбільш оптимального альтернативного способу досягнення цілей</w:t>
      </w:r>
    </w:p>
    <w:p w:rsidR="007253E6" w:rsidRPr="0018789A" w:rsidRDefault="007253E6" w:rsidP="007253E6">
      <w:pPr>
        <w:spacing w:after="0" w:line="20" w:lineRule="atLeast"/>
        <w:ind w:firstLine="708"/>
        <w:contextualSpacing/>
        <w:jc w:val="both"/>
        <w:rPr>
          <w:rFonts w:ascii="Times New Roman" w:hAnsi="Times New Roman" w:cs="Times New Roman"/>
          <w:sz w:val="28"/>
          <w:szCs w:val="28"/>
          <w:lang w:val="uk-UA" w:eastAsia="uk-UA"/>
        </w:rPr>
      </w:pPr>
    </w:p>
    <w:p w:rsidR="007253E6" w:rsidRPr="000E66DA" w:rsidRDefault="007253E6" w:rsidP="007253E6">
      <w:pPr>
        <w:spacing w:after="0" w:line="20" w:lineRule="atLeast"/>
        <w:ind w:firstLine="708"/>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rsidR="007253E6" w:rsidRPr="000E66DA" w:rsidRDefault="007253E6" w:rsidP="007253E6">
      <w:pPr>
        <w:spacing w:after="0" w:line="20" w:lineRule="atLeast"/>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4 - цілі прийняття регуляторного акта, які можуть бути досягнуті повною мірою (проблема більше існувати не буде);</w:t>
      </w:r>
    </w:p>
    <w:p w:rsidR="007253E6" w:rsidRPr="000E66DA" w:rsidRDefault="007253E6" w:rsidP="007253E6">
      <w:pPr>
        <w:spacing w:after="0" w:line="20" w:lineRule="atLeast"/>
        <w:contextualSpacing/>
        <w:jc w:val="both"/>
        <w:rPr>
          <w:rFonts w:ascii="Times New Roman" w:hAnsi="Times New Roman" w:cs="Times New Roman"/>
          <w:sz w:val="28"/>
          <w:szCs w:val="28"/>
          <w:lang w:val="uk-UA"/>
        </w:rPr>
      </w:pPr>
      <w:bookmarkStart w:id="33" w:name="n155"/>
      <w:bookmarkEnd w:id="33"/>
      <w:r w:rsidRPr="000E66DA">
        <w:rPr>
          <w:rFonts w:ascii="Times New Roman" w:hAnsi="Times New Roman" w:cs="Times New Roman"/>
          <w:sz w:val="28"/>
          <w:szCs w:val="28"/>
          <w:lang w:val="uk-UA" w:eastAsia="uk-UA"/>
        </w:rPr>
        <w:t>3 - цілі прийняття регуляторного акта, які можуть бути досягнуті майже  повною мірою (усі важливі аспекти проблеми існувати не будуть);</w:t>
      </w:r>
    </w:p>
    <w:p w:rsidR="007253E6" w:rsidRPr="000E66DA" w:rsidRDefault="007253E6" w:rsidP="007253E6">
      <w:pPr>
        <w:spacing w:after="0" w:line="20" w:lineRule="atLeast"/>
        <w:contextualSpacing/>
        <w:jc w:val="both"/>
        <w:rPr>
          <w:rFonts w:ascii="Times New Roman" w:hAnsi="Times New Roman" w:cs="Times New Roman"/>
          <w:sz w:val="28"/>
          <w:szCs w:val="28"/>
          <w:lang w:val="uk-UA"/>
        </w:rPr>
      </w:pPr>
      <w:bookmarkStart w:id="34" w:name="n156"/>
      <w:bookmarkEnd w:id="34"/>
      <w:r w:rsidRPr="000E66DA">
        <w:rPr>
          <w:rFonts w:ascii="Times New Roman" w:hAnsi="Times New Roman" w:cs="Times New Roman"/>
          <w:sz w:val="28"/>
          <w:szCs w:val="28"/>
          <w:lang w:val="uk-UA" w:eastAsia="uk-UA"/>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7253E6" w:rsidRPr="000E66DA" w:rsidRDefault="007253E6" w:rsidP="007253E6">
      <w:pPr>
        <w:spacing w:after="0" w:line="20" w:lineRule="atLeast"/>
        <w:contextualSpacing/>
        <w:jc w:val="both"/>
        <w:rPr>
          <w:rFonts w:ascii="Times New Roman" w:hAnsi="Times New Roman" w:cs="Times New Roman"/>
          <w:sz w:val="28"/>
          <w:szCs w:val="28"/>
          <w:lang w:val="uk-UA"/>
        </w:rPr>
      </w:pPr>
      <w:bookmarkStart w:id="35" w:name="n157"/>
      <w:bookmarkEnd w:id="35"/>
      <w:r w:rsidRPr="000E66DA">
        <w:rPr>
          <w:rFonts w:ascii="Times New Roman" w:hAnsi="Times New Roman" w:cs="Times New Roman"/>
          <w:sz w:val="28"/>
          <w:szCs w:val="28"/>
          <w:lang w:val="uk-UA" w:eastAsia="uk-UA"/>
        </w:rPr>
        <w:t>1 - цілі прийняття регуляторного акта, які не можуть бути досягнуті (проблема продовжує існувати).</w:t>
      </w:r>
    </w:p>
    <w:p w:rsidR="007253E6" w:rsidRPr="000E66DA" w:rsidRDefault="007253E6" w:rsidP="007253E6">
      <w:pPr>
        <w:spacing w:after="0" w:line="20" w:lineRule="atLeast"/>
        <w:contextualSpacing/>
        <w:jc w:val="both"/>
        <w:rPr>
          <w:rFonts w:ascii="Times New Roman" w:hAnsi="Times New Roman" w:cs="Times New Roman"/>
          <w:sz w:val="28"/>
          <w:szCs w:val="28"/>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622"/>
        <w:gridCol w:w="2352"/>
        <w:gridCol w:w="4665"/>
      </w:tblGrid>
      <w:tr w:rsidR="007253E6" w:rsidRPr="000E66DA" w:rsidTr="00623B32">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bookmarkStart w:id="36" w:name="n158"/>
            <w:bookmarkEnd w:id="36"/>
            <w:r w:rsidRPr="000E66DA">
              <w:rPr>
                <w:rFonts w:ascii="Times New Roman" w:hAnsi="Times New Roman" w:cs="Times New Roman"/>
                <w:b/>
                <w:bCs/>
                <w:sz w:val="28"/>
                <w:szCs w:val="28"/>
                <w:lang w:val="uk-UA" w:eastAsia="uk-UA"/>
              </w:rPr>
              <w:t>Рейтинг результативності (досягнення цілей під час вирішення проблеми)</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r w:rsidRPr="000E66DA">
              <w:rPr>
                <w:rFonts w:ascii="Times New Roman" w:hAnsi="Times New Roman" w:cs="Times New Roman"/>
                <w:b/>
                <w:bCs/>
                <w:sz w:val="28"/>
                <w:szCs w:val="28"/>
                <w:lang w:val="uk-UA" w:eastAsia="uk-UA"/>
              </w:rPr>
              <w:t>Бал результативності (за чотирибальною системою оцінки)</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r w:rsidRPr="000E66DA">
              <w:rPr>
                <w:rFonts w:ascii="Times New Roman" w:hAnsi="Times New Roman" w:cs="Times New Roman"/>
                <w:b/>
                <w:bCs/>
                <w:sz w:val="28"/>
                <w:szCs w:val="28"/>
                <w:lang w:val="uk-UA" w:eastAsia="uk-UA"/>
              </w:rPr>
              <w:t>Коментарі щодо присвоєння відповідного бала</w:t>
            </w:r>
          </w:p>
        </w:tc>
      </w:tr>
      <w:tr w:rsidR="007253E6" w:rsidRPr="000E66DA" w:rsidTr="00623B32">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Альтернатива 1</w:t>
            </w:r>
          </w:p>
          <w:p w:rsidR="007253E6" w:rsidRPr="000E66DA" w:rsidRDefault="007253E6" w:rsidP="00623B32">
            <w:pPr>
              <w:spacing w:after="0" w:line="20" w:lineRule="atLeast"/>
              <w:contextualSpacing/>
              <w:jc w:val="both"/>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1</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38026E">
            <w:pPr>
              <w:spacing w:after="0" w:line="20" w:lineRule="atLeast"/>
              <w:ind w:left="41" w:right="132" w:firstLine="284"/>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 xml:space="preserve">У разі залишення наявної на сьогодні ситуації без змін, </w:t>
            </w:r>
            <w:r w:rsidR="00A35376" w:rsidRPr="000E66DA">
              <w:rPr>
                <w:rFonts w:ascii="Times New Roman" w:hAnsi="Times New Roman" w:cs="Times New Roman"/>
                <w:sz w:val="28"/>
                <w:szCs w:val="28"/>
                <w:lang w:val="uk-UA" w:eastAsia="uk-UA"/>
              </w:rPr>
              <w:lastRenderedPageBreak/>
              <w:t xml:space="preserve">отримання </w:t>
            </w:r>
            <w:r w:rsidR="0038026E" w:rsidRPr="000E66DA">
              <w:rPr>
                <w:rFonts w:ascii="Times New Roman" w:hAnsi="Times New Roman" w:cs="Times New Roman"/>
                <w:sz w:val="28"/>
                <w:szCs w:val="28"/>
                <w:lang w:val="uk-UA" w:eastAsia="uk-UA"/>
              </w:rPr>
              <w:t xml:space="preserve">періодичної </w:t>
            </w:r>
            <w:r w:rsidR="00A35376" w:rsidRPr="000E66DA">
              <w:rPr>
                <w:rFonts w:ascii="Times New Roman" w:hAnsi="Times New Roman" w:cs="Times New Roman"/>
                <w:sz w:val="28"/>
                <w:szCs w:val="28"/>
                <w:lang w:val="uk-UA" w:eastAsia="uk-UA"/>
              </w:rPr>
              <w:t xml:space="preserve">інформації про діяльність організаторів азартних ігор буде неможливим. </w:t>
            </w:r>
            <w:r w:rsidRPr="000E66DA">
              <w:rPr>
                <w:rFonts w:ascii="Times New Roman" w:hAnsi="Times New Roman" w:cs="Times New Roman"/>
                <w:sz w:val="28"/>
                <w:szCs w:val="28"/>
                <w:lang w:val="uk-UA" w:eastAsia="uk-UA"/>
              </w:rPr>
              <w:t xml:space="preserve">Проблеми зазначені в розділі І АРВ не будуть вирішені. </w:t>
            </w:r>
          </w:p>
        </w:tc>
      </w:tr>
      <w:tr w:rsidR="007253E6" w:rsidRPr="000E66DA" w:rsidTr="00623B32">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lastRenderedPageBreak/>
              <w:t xml:space="preserve">Альтернатива 2 </w:t>
            </w:r>
          </w:p>
          <w:p w:rsidR="007253E6" w:rsidRPr="000E66DA" w:rsidRDefault="007253E6" w:rsidP="00623B32">
            <w:pPr>
              <w:spacing w:after="0" w:line="20" w:lineRule="atLeast"/>
              <w:contextualSpacing/>
              <w:jc w:val="both"/>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4</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A35376" w:rsidRPr="000E66DA" w:rsidRDefault="007253E6" w:rsidP="00A35376">
            <w:pPr>
              <w:spacing w:after="0" w:line="20" w:lineRule="atLeast"/>
              <w:ind w:left="41" w:right="132" w:firstLine="284"/>
              <w:contextualSpacing/>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 xml:space="preserve">У разі прийняття проєкту регуляторного акта  буде визначено </w:t>
            </w:r>
            <w:r w:rsidR="00B54722" w:rsidRPr="000E66DA">
              <w:rPr>
                <w:rFonts w:ascii="Times New Roman" w:hAnsi="Times New Roman" w:cs="Times New Roman"/>
                <w:sz w:val="28"/>
                <w:szCs w:val="28"/>
                <w:lang w:val="uk-UA"/>
              </w:rPr>
              <w:t xml:space="preserve">перелік, форми та </w:t>
            </w:r>
            <w:r w:rsidR="00B54722" w:rsidRPr="000E66DA">
              <w:rPr>
                <w:rFonts w:ascii="Times New Roman" w:eastAsia="Times New Roman" w:hAnsi="Times New Roman" w:cs="Times New Roman"/>
                <w:sz w:val="28"/>
                <w:szCs w:val="28"/>
                <w:lang w:val="uk-UA" w:eastAsia="ru-RU"/>
              </w:rPr>
              <w:t xml:space="preserve">порядок </w:t>
            </w:r>
            <w:r w:rsidR="00B54722" w:rsidRPr="000E66DA">
              <w:rPr>
                <w:rFonts w:ascii="Times New Roman" w:hAnsi="Times New Roman" w:cs="Times New Roman"/>
                <w:sz w:val="28"/>
                <w:szCs w:val="28"/>
                <w:lang w:val="uk-UA"/>
              </w:rPr>
              <w:t>подання звітності організаторами азартних ігор</w:t>
            </w:r>
            <w:r w:rsidR="00A35376" w:rsidRPr="000E66DA">
              <w:rPr>
                <w:rFonts w:ascii="Times New Roman" w:hAnsi="Times New Roman" w:cs="Times New Roman"/>
                <w:sz w:val="28"/>
                <w:szCs w:val="28"/>
                <w:lang w:val="uk-UA" w:eastAsia="uk-UA"/>
              </w:rPr>
              <w:t>.</w:t>
            </w:r>
          </w:p>
          <w:p w:rsidR="007253E6" w:rsidRPr="000E66DA" w:rsidRDefault="007253E6" w:rsidP="00A35376">
            <w:pPr>
              <w:spacing w:after="0" w:line="20" w:lineRule="atLeast"/>
              <w:ind w:left="41" w:right="132" w:firstLine="284"/>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 xml:space="preserve"> Проблеми,  зазначені у розділі І АРВ будуть врегульовані, а цілі досягнені. </w:t>
            </w:r>
          </w:p>
        </w:tc>
      </w:tr>
    </w:tbl>
    <w:p w:rsidR="007253E6" w:rsidRPr="000E66DA" w:rsidRDefault="007253E6" w:rsidP="007253E6">
      <w:pPr>
        <w:tabs>
          <w:tab w:val="left" w:pos="6513"/>
        </w:tabs>
        <w:spacing w:after="0" w:line="20" w:lineRule="atLeast"/>
        <w:ind w:firstLine="709"/>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ab/>
      </w:r>
    </w:p>
    <w:p w:rsidR="007253E6" w:rsidRPr="000E66DA" w:rsidRDefault="007253E6" w:rsidP="007253E6">
      <w:pPr>
        <w:spacing w:after="0" w:line="20" w:lineRule="atLeast"/>
        <w:contextualSpacing/>
        <w:jc w:val="center"/>
        <w:rPr>
          <w:rFonts w:ascii="Times New Roman" w:hAnsi="Times New Roman" w:cs="Times New Roman"/>
          <w:sz w:val="28"/>
          <w:szCs w:val="28"/>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14"/>
        <w:gridCol w:w="2574"/>
        <w:gridCol w:w="2846"/>
        <w:gridCol w:w="2305"/>
      </w:tblGrid>
      <w:tr w:rsidR="007253E6" w:rsidRPr="000E66DA" w:rsidTr="004A4E71">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bookmarkStart w:id="37" w:name="n159"/>
            <w:bookmarkEnd w:id="37"/>
            <w:r w:rsidRPr="000E66DA">
              <w:rPr>
                <w:rFonts w:ascii="Times New Roman" w:hAnsi="Times New Roman" w:cs="Times New Roman"/>
                <w:b/>
                <w:bCs/>
                <w:sz w:val="28"/>
                <w:szCs w:val="28"/>
                <w:lang w:val="uk-UA" w:eastAsia="uk-UA"/>
              </w:rPr>
              <w:t>Рейтинг результативності</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r w:rsidRPr="000E66DA">
              <w:rPr>
                <w:rFonts w:ascii="Times New Roman" w:hAnsi="Times New Roman" w:cs="Times New Roman"/>
                <w:b/>
                <w:bCs/>
                <w:sz w:val="28"/>
                <w:szCs w:val="28"/>
                <w:lang w:val="uk-UA" w:eastAsia="uk-UA"/>
              </w:rPr>
              <w:t>Вигоди (підсумок)</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r w:rsidRPr="000E66DA">
              <w:rPr>
                <w:rFonts w:ascii="Times New Roman" w:hAnsi="Times New Roman" w:cs="Times New Roman"/>
                <w:b/>
                <w:bCs/>
                <w:sz w:val="28"/>
                <w:szCs w:val="28"/>
                <w:lang w:val="uk-UA" w:eastAsia="uk-UA"/>
              </w:rPr>
              <w:t>Витрати (підсумок)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r w:rsidRPr="000E66DA">
              <w:rPr>
                <w:rFonts w:ascii="Times New Roman" w:hAnsi="Times New Roman" w:cs="Times New Roman"/>
                <w:b/>
                <w:bCs/>
                <w:sz w:val="28"/>
                <w:szCs w:val="28"/>
                <w:lang w:val="uk-UA" w:eastAsia="uk-UA"/>
              </w:rPr>
              <w:t>Обґрунтування відповідного місця альтернативи у рейтингу</w:t>
            </w:r>
          </w:p>
        </w:tc>
      </w:tr>
      <w:tr w:rsidR="007253E6" w:rsidRPr="000E66DA" w:rsidTr="004A4E71">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before="120"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Альтернатива 1</w:t>
            </w:r>
          </w:p>
          <w:p w:rsidR="007253E6" w:rsidRPr="000E66DA" w:rsidRDefault="007253E6" w:rsidP="00623B32">
            <w:pPr>
              <w:spacing w:before="120" w:after="0" w:line="20" w:lineRule="atLeast"/>
              <w:contextualSpacing/>
              <w:jc w:val="center"/>
              <w:rPr>
                <w:rFonts w:ascii="Times New Roman" w:hAnsi="Times New Roman" w:cs="Times New Roman"/>
                <w:sz w:val="28"/>
                <w:szCs w:val="28"/>
                <w:lang w:val="uk-UA" w:eastAsia="uk-UA"/>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eastAsia="uk-UA"/>
              </w:rPr>
            </w:pPr>
            <w:r w:rsidRPr="000E66DA">
              <w:rPr>
                <w:rFonts w:ascii="Times New Roman" w:hAnsi="Times New Roman" w:cs="Times New Roman"/>
                <w:b/>
                <w:bCs/>
                <w:sz w:val="28"/>
                <w:szCs w:val="28"/>
                <w:lang w:val="uk-UA" w:eastAsia="uk-UA"/>
              </w:rPr>
              <w:t>Для держави:</w:t>
            </w:r>
          </w:p>
          <w:p w:rsidR="007253E6" w:rsidRPr="000E66DA" w:rsidRDefault="007253E6" w:rsidP="0038026E">
            <w:pPr>
              <w:spacing w:after="0" w:line="240" w:lineRule="auto"/>
              <w:ind w:left="126"/>
              <w:contextualSpacing/>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Відсутні.</w:t>
            </w:r>
          </w:p>
          <w:p w:rsidR="007253E6" w:rsidRPr="000E66DA" w:rsidRDefault="007253E6" w:rsidP="0038026E">
            <w:pPr>
              <w:spacing w:after="0" w:line="240" w:lineRule="auto"/>
              <w:ind w:left="126"/>
              <w:contextualSpacing/>
              <w:rPr>
                <w:rFonts w:ascii="Times New Roman" w:hAnsi="Times New Roman" w:cs="Times New Roman"/>
                <w:sz w:val="12"/>
                <w:szCs w:val="12"/>
                <w:lang w:val="uk-UA" w:eastAsia="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p>
          <w:p w:rsidR="00C52986" w:rsidRPr="000E66DA" w:rsidRDefault="00C52986" w:rsidP="0038026E">
            <w:pPr>
              <w:spacing w:after="0" w:line="240" w:lineRule="auto"/>
              <w:ind w:left="125" w:right="125"/>
              <w:contextualSpacing/>
              <w:jc w:val="both"/>
              <w:rPr>
                <w:rFonts w:ascii="Times New Roman" w:hAnsi="Times New Roman" w:cs="Times New Roman"/>
                <w:b/>
                <w:bCs/>
                <w:sz w:val="28"/>
                <w:szCs w:val="28"/>
                <w:lang w:val="uk-UA"/>
              </w:rPr>
            </w:pPr>
          </w:p>
          <w:p w:rsidR="0038026E" w:rsidRPr="000E66DA" w:rsidRDefault="0038026E" w:rsidP="0038026E">
            <w:pPr>
              <w:spacing w:after="0" w:line="240" w:lineRule="auto"/>
              <w:ind w:left="125" w:right="125"/>
              <w:contextualSpacing/>
              <w:jc w:val="both"/>
              <w:rPr>
                <w:rFonts w:ascii="Times New Roman" w:hAnsi="Times New Roman" w:cs="Times New Roman"/>
                <w:b/>
                <w:bCs/>
                <w:sz w:val="28"/>
                <w:szCs w:val="28"/>
                <w:lang w:val="uk-UA"/>
              </w:rPr>
            </w:pPr>
          </w:p>
          <w:p w:rsidR="007253E6" w:rsidRPr="000E66DA" w:rsidRDefault="007253E6" w:rsidP="0038026E">
            <w:pPr>
              <w:spacing w:after="0" w:line="240" w:lineRule="auto"/>
              <w:ind w:left="125" w:right="125"/>
              <w:contextualSpacing/>
              <w:jc w:val="both"/>
              <w:rPr>
                <w:rFonts w:ascii="Times New Roman" w:hAnsi="Times New Roman" w:cs="Times New Roman"/>
                <w:b/>
                <w:bCs/>
                <w:sz w:val="28"/>
                <w:szCs w:val="28"/>
                <w:lang w:val="uk-UA"/>
              </w:rPr>
            </w:pPr>
            <w:r w:rsidRPr="000E66DA">
              <w:rPr>
                <w:rFonts w:ascii="Times New Roman" w:hAnsi="Times New Roman" w:cs="Times New Roman"/>
                <w:b/>
                <w:bCs/>
                <w:sz w:val="28"/>
                <w:szCs w:val="28"/>
                <w:lang w:val="uk-UA"/>
              </w:rPr>
              <w:t>Для суб’єктів господарювання:</w:t>
            </w:r>
          </w:p>
          <w:p w:rsidR="007253E6" w:rsidRPr="000E66DA" w:rsidRDefault="007253E6" w:rsidP="0038026E">
            <w:pPr>
              <w:spacing w:after="0" w:line="240" w:lineRule="auto"/>
              <w:ind w:left="126"/>
              <w:contextualSpacing/>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Відсутні.</w:t>
            </w:r>
          </w:p>
          <w:p w:rsidR="007253E6" w:rsidRPr="000E66DA" w:rsidRDefault="007253E6" w:rsidP="00623B32">
            <w:pPr>
              <w:spacing w:before="120" w:after="0" w:line="20" w:lineRule="atLeast"/>
              <w:ind w:left="126"/>
              <w:contextualSpacing/>
              <w:rPr>
                <w:rFonts w:ascii="Times New Roman" w:hAnsi="Times New Roman" w:cs="Times New Roman"/>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C52986">
            <w:pPr>
              <w:spacing w:after="0" w:line="240" w:lineRule="auto"/>
              <w:ind w:left="125" w:right="125"/>
              <w:contextualSpacing/>
              <w:jc w:val="both"/>
              <w:rPr>
                <w:rFonts w:ascii="Times New Roman" w:hAnsi="Times New Roman" w:cs="Times New Roman"/>
                <w:b/>
                <w:bCs/>
                <w:sz w:val="28"/>
                <w:szCs w:val="28"/>
                <w:lang w:val="uk-UA" w:eastAsia="uk-UA"/>
              </w:rPr>
            </w:pPr>
            <w:r w:rsidRPr="000E66DA">
              <w:rPr>
                <w:rFonts w:ascii="Times New Roman" w:hAnsi="Times New Roman" w:cs="Times New Roman"/>
                <w:b/>
                <w:bCs/>
                <w:sz w:val="28"/>
                <w:szCs w:val="28"/>
                <w:lang w:val="uk-UA" w:eastAsia="uk-UA"/>
              </w:rPr>
              <w:lastRenderedPageBreak/>
              <w:t>Для держави:</w:t>
            </w:r>
          </w:p>
          <w:p w:rsidR="0067114C" w:rsidRPr="000E66DA" w:rsidRDefault="007253E6" w:rsidP="00C52986">
            <w:pPr>
              <w:spacing w:after="0" w:line="240" w:lineRule="auto"/>
              <w:ind w:left="125" w:right="125"/>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 xml:space="preserve">Відсутність </w:t>
            </w:r>
            <w:r w:rsidR="004A4E71" w:rsidRPr="000E66DA">
              <w:rPr>
                <w:rFonts w:ascii="Times New Roman" w:eastAsia="Times New Roman" w:hAnsi="Times New Roman" w:cs="Times New Roman"/>
                <w:sz w:val="28"/>
                <w:szCs w:val="28"/>
                <w:lang w:val="uk-UA" w:eastAsia="ru-RU"/>
              </w:rPr>
              <w:t xml:space="preserve">визначеного </w:t>
            </w:r>
            <w:r w:rsidR="004A4E71" w:rsidRPr="000E66DA">
              <w:rPr>
                <w:rFonts w:ascii="Times New Roman" w:hAnsi="Times New Roman" w:cs="Times New Roman"/>
                <w:sz w:val="28"/>
                <w:szCs w:val="28"/>
                <w:lang w:val="uk-UA"/>
              </w:rPr>
              <w:t xml:space="preserve">переліку, форм та </w:t>
            </w:r>
            <w:r w:rsidR="004A4E71" w:rsidRPr="000E66DA">
              <w:rPr>
                <w:rFonts w:ascii="Times New Roman" w:eastAsia="Times New Roman" w:hAnsi="Times New Roman" w:cs="Times New Roman"/>
                <w:sz w:val="28"/>
                <w:szCs w:val="28"/>
                <w:lang w:val="uk-UA" w:eastAsia="ru-RU"/>
              </w:rPr>
              <w:t xml:space="preserve">порядку </w:t>
            </w:r>
            <w:r w:rsidR="004A4E71" w:rsidRPr="000E66DA">
              <w:rPr>
                <w:rFonts w:ascii="Times New Roman" w:hAnsi="Times New Roman" w:cs="Times New Roman"/>
                <w:sz w:val="28"/>
                <w:szCs w:val="28"/>
                <w:lang w:val="uk-UA"/>
              </w:rPr>
              <w:t>подання звітності організаторами азартних ігор</w:t>
            </w:r>
            <w:r w:rsidR="004A4E71" w:rsidRPr="000E66DA">
              <w:rPr>
                <w:rFonts w:ascii="Times New Roman" w:eastAsia="Times New Roman" w:hAnsi="Times New Roman" w:cs="Times New Roman"/>
                <w:sz w:val="28"/>
                <w:szCs w:val="28"/>
                <w:lang w:val="uk-UA" w:eastAsia="ru-RU"/>
              </w:rPr>
              <w:t xml:space="preserve"> </w:t>
            </w:r>
            <w:r w:rsidR="007D067F" w:rsidRPr="000E66DA">
              <w:rPr>
                <w:rFonts w:ascii="Times New Roman" w:hAnsi="Times New Roman" w:cs="Times New Roman"/>
                <w:sz w:val="28"/>
                <w:szCs w:val="28"/>
                <w:lang w:val="uk-UA"/>
              </w:rPr>
              <w:t>унеможливлює  отримання інформації про</w:t>
            </w:r>
            <w:r w:rsidR="004B0920" w:rsidRPr="000E66DA">
              <w:rPr>
                <w:rFonts w:ascii="Times New Roman" w:hAnsi="Times New Roman" w:cs="Times New Roman"/>
                <w:sz w:val="28"/>
                <w:szCs w:val="28"/>
                <w:lang w:val="uk-UA"/>
              </w:rPr>
              <w:t xml:space="preserve"> їх</w:t>
            </w:r>
            <w:r w:rsidR="007D067F" w:rsidRPr="000E66DA">
              <w:rPr>
                <w:rFonts w:ascii="Times New Roman" w:hAnsi="Times New Roman" w:cs="Times New Roman"/>
                <w:sz w:val="28"/>
                <w:szCs w:val="28"/>
                <w:lang w:val="uk-UA"/>
              </w:rPr>
              <w:t xml:space="preserve"> діяльність та виконання повноважень КРАІЛ </w:t>
            </w:r>
            <w:r w:rsidR="004B0920" w:rsidRPr="000E66DA">
              <w:rPr>
                <w:rFonts w:ascii="Times New Roman" w:hAnsi="Times New Roman" w:cs="Times New Roman"/>
                <w:sz w:val="28"/>
                <w:szCs w:val="28"/>
                <w:lang w:val="uk-UA"/>
              </w:rPr>
              <w:t>в</w:t>
            </w:r>
            <w:r w:rsidR="007D067F" w:rsidRPr="000E66DA">
              <w:rPr>
                <w:rFonts w:ascii="Times New Roman" w:hAnsi="Times New Roman" w:cs="Times New Roman"/>
                <w:sz w:val="28"/>
                <w:szCs w:val="28"/>
                <w:lang w:val="uk-UA"/>
              </w:rPr>
              <w:t xml:space="preserve"> межах, визначених законодавством. </w:t>
            </w:r>
            <w:r w:rsidRPr="000E66DA">
              <w:rPr>
                <w:rFonts w:ascii="Times New Roman" w:hAnsi="Times New Roman" w:cs="Times New Roman"/>
                <w:sz w:val="28"/>
                <w:szCs w:val="28"/>
                <w:lang w:val="uk-UA"/>
              </w:rPr>
              <w:t xml:space="preserve"> Це, </w:t>
            </w:r>
            <w:r w:rsidR="004B0920" w:rsidRPr="000E66DA">
              <w:rPr>
                <w:rFonts w:ascii="Times New Roman" w:hAnsi="Times New Roman" w:cs="Times New Roman"/>
                <w:sz w:val="28"/>
                <w:szCs w:val="28"/>
                <w:lang w:val="uk-UA"/>
              </w:rPr>
              <w:t>в</w:t>
            </w:r>
            <w:r w:rsidRPr="000E66DA">
              <w:rPr>
                <w:rFonts w:ascii="Times New Roman" w:hAnsi="Times New Roman" w:cs="Times New Roman"/>
                <w:sz w:val="28"/>
                <w:szCs w:val="28"/>
                <w:lang w:val="uk-UA"/>
              </w:rPr>
              <w:t xml:space="preserve"> свою чергу, може призвести </w:t>
            </w:r>
            <w:r w:rsidR="002B18E4" w:rsidRPr="000E66DA">
              <w:rPr>
                <w:rFonts w:ascii="Times New Roman" w:hAnsi="Times New Roman" w:cs="Times New Roman"/>
                <w:sz w:val="28"/>
                <w:szCs w:val="28"/>
                <w:lang w:val="uk-UA"/>
              </w:rPr>
              <w:t>до неможливості</w:t>
            </w:r>
          </w:p>
          <w:p w:rsidR="002B18E4" w:rsidRPr="000E66DA" w:rsidRDefault="002B18E4" w:rsidP="00C52986">
            <w:pPr>
              <w:shd w:val="clear" w:color="auto" w:fill="FFFFFF"/>
              <w:suppressAutoHyphens w:val="0"/>
              <w:spacing w:after="0" w:line="240" w:lineRule="auto"/>
              <w:ind w:left="126" w:right="15"/>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 xml:space="preserve">забезпечення  належного контролю діяльності </w:t>
            </w:r>
            <w:r w:rsidRPr="000E66DA">
              <w:rPr>
                <w:rFonts w:ascii="Times New Roman" w:hAnsi="Times New Roman" w:cs="Times New Roman"/>
                <w:sz w:val="28"/>
                <w:szCs w:val="28"/>
                <w:lang w:val="uk-UA" w:eastAsia="uk-UA"/>
              </w:rPr>
              <w:lastRenderedPageBreak/>
              <w:t>організаторів азартних ігор.</w:t>
            </w:r>
          </w:p>
          <w:p w:rsidR="002B18E4" w:rsidRPr="000E66DA" w:rsidRDefault="002B18E4" w:rsidP="00C52986">
            <w:pPr>
              <w:shd w:val="clear" w:color="auto" w:fill="FFFFFF"/>
              <w:suppressAutoHyphens w:val="0"/>
              <w:spacing w:after="0" w:line="240" w:lineRule="auto"/>
              <w:ind w:left="126" w:right="15"/>
              <w:jc w:val="both"/>
              <w:rPr>
                <w:rFonts w:ascii="Times New Roman" w:hAnsi="Times New Roman" w:cs="Times New Roman"/>
                <w:sz w:val="28"/>
                <w:szCs w:val="28"/>
                <w:lang w:val="uk-UA" w:eastAsia="uk-UA"/>
              </w:rPr>
            </w:pPr>
          </w:p>
          <w:p w:rsidR="007253E6" w:rsidRPr="000E66DA" w:rsidRDefault="007253E6" w:rsidP="00C52986">
            <w:pPr>
              <w:spacing w:after="0" w:line="240" w:lineRule="auto"/>
              <w:ind w:left="125" w:right="125"/>
              <w:contextualSpacing/>
              <w:jc w:val="both"/>
              <w:rPr>
                <w:rFonts w:ascii="Times New Roman" w:hAnsi="Times New Roman" w:cs="Times New Roman"/>
                <w:b/>
                <w:bCs/>
                <w:sz w:val="28"/>
                <w:szCs w:val="28"/>
                <w:lang w:val="uk-UA"/>
              </w:rPr>
            </w:pPr>
            <w:r w:rsidRPr="000E66DA">
              <w:rPr>
                <w:rFonts w:ascii="Times New Roman" w:hAnsi="Times New Roman" w:cs="Times New Roman"/>
                <w:b/>
                <w:bCs/>
                <w:sz w:val="28"/>
                <w:szCs w:val="28"/>
                <w:lang w:val="uk-UA"/>
              </w:rPr>
              <w:t>Для суб’єктів господарювання:</w:t>
            </w:r>
          </w:p>
          <w:p w:rsidR="004B0920" w:rsidRPr="000E66DA" w:rsidRDefault="007253E6" w:rsidP="00C52986">
            <w:pPr>
              <w:spacing w:after="0" w:line="240" w:lineRule="auto"/>
              <w:ind w:left="125" w:right="125"/>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 xml:space="preserve">Відсутність </w:t>
            </w:r>
            <w:r w:rsidR="004A4E71" w:rsidRPr="000E66DA">
              <w:rPr>
                <w:rFonts w:ascii="Times New Roman" w:eastAsia="Times New Roman" w:hAnsi="Times New Roman" w:cs="Times New Roman"/>
                <w:sz w:val="28"/>
                <w:szCs w:val="28"/>
                <w:lang w:val="uk-UA" w:eastAsia="ru-RU"/>
              </w:rPr>
              <w:t xml:space="preserve">визначеного </w:t>
            </w:r>
            <w:r w:rsidR="004A4E71" w:rsidRPr="000E66DA">
              <w:rPr>
                <w:rFonts w:ascii="Times New Roman" w:hAnsi="Times New Roman" w:cs="Times New Roman"/>
                <w:sz w:val="28"/>
                <w:szCs w:val="28"/>
                <w:lang w:val="uk-UA"/>
              </w:rPr>
              <w:t xml:space="preserve">переліку, форм та </w:t>
            </w:r>
            <w:r w:rsidR="004A4E71" w:rsidRPr="000E66DA">
              <w:rPr>
                <w:rFonts w:ascii="Times New Roman" w:eastAsia="Times New Roman" w:hAnsi="Times New Roman" w:cs="Times New Roman"/>
                <w:sz w:val="28"/>
                <w:szCs w:val="28"/>
                <w:lang w:val="uk-UA" w:eastAsia="ru-RU"/>
              </w:rPr>
              <w:t xml:space="preserve">порядку </w:t>
            </w:r>
            <w:r w:rsidR="004A4E71" w:rsidRPr="000E66DA">
              <w:rPr>
                <w:rFonts w:ascii="Times New Roman" w:hAnsi="Times New Roman" w:cs="Times New Roman"/>
                <w:sz w:val="28"/>
                <w:szCs w:val="28"/>
                <w:lang w:val="uk-UA"/>
              </w:rPr>
              <w:t>подання звітності організаторами азартних ігор</w:t>
            </w:r>
            <w:r w:rsidRPr="000E66DA">
              <w:rPr>
                <w:rFonts w:ascii="Times New Roman" w:hAnsi="Times New Roman" w:cs="Times New Roman"/>
                <w:sz w:val="28"/>
                <w:szCs w:val="28"/>
                <w:lang w:val="uk-UA"/>
              </w:rPr>
              <w:t xml:space="preserve"> </w:t>
            </w:r>
            <w:r w:rsidR="004B0920" w:rsidRPr="000E66DA">
              <w:rPr>
                <w:rFonts w:ascii="Times New Roman" w:hAnsi="Times New Roman" w:cs="Times New Roman"/>
                <w:sz w:val="28"/>
                <w:szCs w:val="28"/>
                <w:lang w:val="uk-UA"/>
              </w:rPr>
              <w:t>унеможливить отриман</w:t>
            </w:r>
            <w:r w:rsidR="004A4E71" w:rsidRPr="000E66DA">
              <w:rPr>
                <w:rFonts w:ascii="Times New Roman" w:hAnsi="Times New Roman" w:cs="Times New Roman"/>
                <w:sz w:val="28"/>
                <w:szCs w:val="28"/>
                <w:lang w:val="uk-UA"/>
              </w:rPr>
              <w:t xml:space="preserve">ня інформації про їх діяльність та не сприятиме </w:t>
            </w:r>
            <w:r w:rsidR="004B0920" w:rsidRPr="000E66DA">
              <w:rPr>
                <w:rFonts w:ascii="Times New Roman" w:hAnsi="Times New Roman" w:cs="Times New Roman"/>
                <w:sz w:val="28"/>
                <w:szCs w:val="28"/>
                <w:lang w:val="uk-UA"/>
              </w:rPr>
              <w:t xml:space="preserve"> </w:t>
            </w:r>
            <w:r w:rsidR="004A4E71" w:rsidRPr="000E66DA">
              <w:rPr>
                <w:rFonts w:ascii="Times New Roman" w:hAnsi="Times New Roman" w:cs="Times New Roman"/>
                <w:sz w:val="28"/>
                <w:szCs w:val="28"/>
                <w:lang w:val="uk-UA"/>
              </w:rPr>
              <w:t xml:space="preserve">прозорості сфери азартних ігор. </w:t>
            </w:r>
            <w:r w:rsidR="004B0920" w:rsidRPr="000E66DA">
              <w:rPr>
                <w:rFonts w:ascii="Times New Roman" w:hAnsi="Times New Roman" w:cs="Times New Roman"/>
                <w:sz w:val="28"/>
                <w:szCs w:val="28"/>
                <w:lang w:val="uk-UA"/>
              </w:rPr>
              <w:t xml:space="preserve">Це, в совою чергу, </w:t>
            </w:r>
          </w:p>
          <w:p w:rsidR="00C52986" w:rsidRPr="000E66DA" w:rsidRDefault="00727473" w:rsidP="00C52986">
            <w:pPr>
              <w:spacing w:after="0" w:line="240" w:lineRule="auto"/>
              <w:ind w:left="125" w:right="125"/>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 xml:space="preserve">може </w:t>
            </w:r>
            <w:r w:rsidR="004B0920" w:rsidRPr="000E66DA">
              <w:rPr>
                <w:rFonts w:ascii="Times New Roman" w:hAnsi="Times New Roman" w:cs="Times New Roman"/>
                <w:sz w:val="28"/>
                <w:szCs w:val="28"/>
                <w:lang w:val="uk-UA"/>
              </w:rPr>
              <w:t>призве</w:t>
            </w:r>
            <w:r w:rsidRPr="000E66DA">
              <w:rPr>
                <w:rFonts w:ascii="Times New Roman" w:hAnsi="Times New Roman" w:cs="Times New Roman"/>
                <w:sz w:val="28"/>
                <w:szCs w:val="28"/>
                <w:lang w:val="uk-UA"/>
              </w:rPr>
              <w:t>сти</w:t>
            </w:r>
            <w:r w:rsidR="004B0920" w:rsidRPr="000E66DA">
              <w:rPr>
                <w:rFonts w:ascii="Times New Roman" w:hAnsi="Times New Roman" w:cs="Times New Roman"/>
                <w:sz w:val="28"/>
                <w:szCs w:val="28"/>
                <w:lang w:val="uk-UA"/>
              </w:rPr>
              <w:t xml:space="preserve"> до</w:t>
            </w:r>
          </w:p>
          <w:p w:rsidR="007253E6" w:rsidRPr="000E66DA" w:rsidRDefault="007253E6" w:rsidP="00C52986">
            <w:pPr>
              <w:spacing w:after="0" w:line="240" w:lineRule="auto"/>
              <w:ind w:left="125" w:right="125"/>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репутаційних втрат організаторів</w:t>
            </w:r>
            <w:r w:rsidR="004B0920" w:rsidRPr="000E66DA">
              <w:rPr>
                <w:rFonts w:ascii="Times New Roman" w:hAnsi="Times New Roman" w:cs="Times New Roman"/>
                <w:sz w:val="28"/>
                <w:szCs w:val="28"/>
                <w:lang w:val="uk-UA"/>
              </w:rPr>
              <w:t xml:space="preserve"> азартних ігор</w:t>
            </w:r>
            <w:r w:rsidRPr="000E66DA">
              <w:rPr>
                <w:rFonts w:ascii="Times New Roman" w:hAnsi="Times New Roman" w:cs="Times New Roman"/>
                <w:sz w:val="28"/>
                <w:szCs w:val="28"/>
                <w:lang w:val="uk-UA"/>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27639A">
            <w:pPr>
              <w:pStyle w:val="1"/>
              <w:spacing w:after="0" w:line="20" w:lineRule="atLeast"/>
              <w:ind w:left="127" w:right="127"/>
              <w:jc w:val="both"/>
              <w:rPr>
                <w:rFonts w:ascii="Times New Roman" w:hAnsi="Times New Roman" w:cs="Times New Roman"/>
                <w:sz w:val="28"/>
                <w:szCs w:val="28"/>
              </w:rPr>
            </w:pPr>
            <w:r w:rsidRPr="000E66DA">
              <w:rPr>
                <w:rFonts w:ascii="Times New Roman" w:hAnsi="Times New Roman" w:cs="Times New Roman"/>
                <w:sz w:val="28"/>
                <w:szCs w:val="28"/>
                <w:lang w:eastAsia="uk-UA"/>
              </w:rPr>
              <w:lastRenderedPageBreak/>
              <w:t xml:space="preserve">Залишення ситуації, яка існує на сьогодні, не вирішує зазначені в розділі І АРВ проблеми та не сприяє </w:t>
            </w:r>
            <w:r w:rsidR="00553E81" w:rsidRPr="000E66DA">
              <w:rPr>
                <w:rFonts w:ascii="Times New Roman" w:eastAsia="Times New Roman" w:hAnsi="Times New Roman" w:cs="Times New Roman"/>
                <w:sz w:val="28"/>
                <w:szCs w:val="28"/>
                <w:lang w:eastAsia="ru-RU"/>
              </w:rPr>
              <w:t>покращенню стану дотримання організаторами азартних ігор вимог законодавства</w:t>
            </w:r>
            <w:r w:rsidR="0038026E" w:rsidRPr="000E66DA">
              <w:rPr>
                <w:rFonts w:ascii="Times New Roman" w:eastAsia="Times New Roman" w:hAnsi="Times New Roman" w:cs="Times New Roman"/>
                <w:sz w:val="28"/>
                <w:szCs w:val="28"/>
                <w:lang w:eastAsia="ru-RU"/>
              </w:rPr>
              <w:t>.</w:t>
            </w:r>
            <w:r w:rsidR="00553E81" w:rsidRPr="000E66DA">
              <w:rPr>
                <w:rFonts w:ascii="Times New Roman" w:eastAsia="Times New Roman" w:hAnsi="Times New Roman" w:cs="Times New Roman"/>
                <w:sz w:val="28"/>
                <w:szCs w:val="28"/>
                <w:lang w:eastAsia="ru-RU"/>
              </w:rPr>
              <w:t xml:space="preserve"> </w:t>
            </w:r>
          </w:p>
        </w:tc>
      </w:tr>
      <w:tr w:rsidR="007253E6" w:rsidRPr="0018789A" w:rsidTr="004A4E71">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lastRenderedPageBreak/>
              <w:t>Альтернатива 2</w:t>
            </w:r>
          </w:p>
          <w:p w:rsidR="007253E6" w:rsidRPr="000E66DA" w:rsidRDefault="007253E6" w:rsidP="00623B32">
            <w:pPr>
              <w:spacing w:after="0" w:line="20" w:lineRule="atLeast"/>
              <w:contextualSpacing/>
              <w:jc w:val="center"/>
              <w:rPr>
                <w:rFonts w:ascii="Times New Roman" w:hAnsi="Times New Roman" w:cs="Times New Roman"/>
                <w:sz w:val="28"/>
                <w:szCs w:val="28"/>
                <w:lang w:val="uk-UA" w:eastAsia="uk-UA"/>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ind w:left="134" w:right="131"/>
              <w:contextualSpacing/>
              <w:jc w:val="both"/>
              <w:rPr>
                <w:rFonts w:ascii="Times New Roman" w:hAnsi="Times New Roman" w:cs="Times New Roman"/>
                <w:b/>
                <w:bCs/>
                <w:sz w:val="28"/>
                <w:szCs w:val="28"/>
                <w:lang w:val="uk-UA" w:eastAsia="uk-UA"/>
              </w:rPr>
            </w:pPr>
            <w:r w:rsidRPr="000E66DA">
              <w:rPr>
                <w:rFonts w:ascii="Times New Roman" w:hAnsi="Times New Roman" w:cs="Times New Roman"/>
                <w:b/>
                <w:bCs/>
                <w:sz w:val="28"/>
                <w:szCs w:val="28"/>
                <w:lang w:val="uk-UA" w:eastAsia="uk-UA"/>
              </w:rPr>
              <w:t>Для держави:</w:t>
            </w:r>
          </w:p>
          <w:p w:rsidR="007253E6" w:rsidRPr="000E66DA" w:rsidRDefault="007253E6" w:rsidP="00623B32">
            <w:pPr>
              <w:spacing w:after="0" w:line="20" w:lineRule="atLeast"/>
              <w:ind w:left="147" w:right="127" w:firstLine="19"/>
              <w:contextualSpacing/>
              <w:jc w:val="both"/>
              <w:rPr>
                <w:rFonts w:ascii="Times New Roman" w:hAnsi="Times New Roman" w:cs="Times New Roman"/>
                <w:iCs/>
                <w:sz w:val="28"/>
                <w:szCs w:val="28"/>
                <w:lang w:val="uk-UA"/>
              </w:rPr>
            </w:pPr>
            <w:r w:rsidRPr="000E66DA">
              <w:rPr>
                <w:rFonts w:ascii="Times New Roman" w:hAnsi="Times New Roman" w:cs="Times New Roman"/>
                <w:iCs/>
                <w:sz w:val="28"/>
                <w:szCs w:val="28"/>
                <w:lang w:val="uk-UA"/>
              </w:rPr>
              <w:t xml:space="preserve">Прийняття регуляторного акта забезпечить: </w:t>
            </w:r>
          </w:p>
          <w:p w:rsidR="007253E6" w:rsidRPr="000E66DA" w:rsidRDefault="007253E6" w:rsidP="007253E6">
            <w:pPr>
              <w:pStyle w:val="a8"/>
              <w:numPr>
                <w:ilvl w:val="0"/>
                <w:numId w:val="3"/>
              </w:numPr>
              <w:tabs>
                <w:tab w:val="left" w:pos="430"/>
              </w:tabs>
              <w:spacing w:after="0" w:line="20" w:lineRule="atLeast"/>
              <w:ind w:left="147" w:right="127" w:firstLine="19"/>
              <w:jc w:val="both"/>
              <w:rPr>
                <w:rFonts w:ascii="Times New Roman" w:hAnsi="Times New Roman" w:cs="Times New Roman"/>
                <w:sz w:val="28"/>
                <w:szCs w:val="28"/>
                <w:lang w:val="uk-UA"/>
              </w:rPr>
            </w:pPr>
            <w:r w:rsidRPr="000E66DA">
              <w:rPr>
                <w:rFonts w:ascii="Times New Roman" w:hAnsi="Times New Roman" w:cs="Times New Roman"/>
                <w:iCs/>
                <w:sz w:val="28"/>
                <w:szCs w:val="28"/>
                <w:lang w:val="uk-UA"/>
              </w:rPr>
              <w:t xml:space="preserve">виконання вимог </w:t>
            </w:r>
            <w:r w:rsidRPr="000E66DA">
              <w:rPr>
                <w:rFonts w:ascii="Times New Roman" w:hAnsi="Times New Roman" w:cs="Times New Roman"/>
                <w:sz w:val="28"/>
                <w:szCs w:val="28"/>
                <w:lang w:val="uk-UA"/>
              </w:rPr>
              <w:t xml:space="preserve"> Закону України «</w:t>
            </w:r>
            <w:hyperlink r:id="rId11" w:history="1">
              <w:r w:rsidRPr="000E66DA">
                <w:rPr>
                  <w:rFonts w:ascii="Times New Roman" w:hAnsi="Times New Roman" w:cs="Times New Roman"/>
                  <w:sz w:val="28"/>
                  <w:szCs w:val="28"/>
                  <w:lang w:val="uk-UA" w:eastAsia="uk-UA"/>
                </w:rPr>
                <w:t>Про державне регулювання діяльності щодо організації та проведення азартних ігор</w:t>
              </w:r>
            </w:hyperlink>
            <w:r w:rsidRPr="000E66DA">
              <w:rPr>
                <w:rFonts w:ascii="Times New Roman" w:hAnsi="Times New Roman" w:cs="Times New Roman"/>
                <w:sz w:val="28"/>
                <w:szCs w:val="28"/>
                <w:lang w:val="uk-UA"/>
              </w:rPr>
              <w:t>»;</w:t>
            </w:r>
          </w:p>
          <w:p w:rsidR="007253E6" w:rsidRPr="000E66DA" w:rsidRDefault="007253E6" w:rsidP="007253E6">
            <w:pPr>
              <w:pStyle w:val="a8"/>
              <w:numPr>
                <w:ilvl w:val="0"/>
                <w:numId w:val="3"/>
              </w:numPr>
              <w:tabs>
                <w:tab w:val="left" w:pos="430"/>
              </w:tabs>
              <w:spacing w:after="0" w:line="20" w:lineRule="atLeast"/>
              <w:ind w:left="147" w:right="127" w:firstLine="19"/>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 xml:space="preserve">підвищення рівня дотримання організаторами азартних ігор вимог </w:t>
            </w:r>
            <w:r w:rsidRPr="000E66DA">
              <w:rPr>
                <w:rFonts w:ascii="Times New Roman" w:hAnsi="Times New Roman" w:cs="Times New Roman"/>
                <w:sz w:val="28"/>
                <w:szCs w:val="28"/>
                <w:lang w:val="uk-UA"/>
              </w:rPr>
              <w:lastRenderedPageBreak/>
              <w:t>законо</w:t>
            </w:r>
            <w:r w:rsidR="00DD7755" w:rsidRPr="000E66DA">
              <w:rPr>
                <w:rFonts w:ascii="Times New Roman" w:hAnsi="Times New Roman" w:cs="Times New Roman"/>
                <w:sz w:val="28"/>
                <w:szCs w:val="28"/>
                <w:lang w:val="uk-UA"/>
              </w:rPr>
              <w:t>давства.</w:t>
            </w:r>
          </w:p>
          <w:p w:rsidR="007253E6" w:rsidRPr="000E66DA" w:rsidRDefault="007253E6" w:rsidP="00623B32">
            <w:pPr>
              <w:spacing w:after="0" w:line="20" w:lineRule="atLeast"/>
              <w:ind w:left="134" w:right="131"/>
              <w:contextualSpacing/>
              <w:jc w:val="both"/>
              <w:rPr>
                <w:rFonts w:ascii="Times New Roman" w:hAnsi="Times New Roman" w:cs="Times New Roman"/>
                <w:sz w:val="12"/>
                <w:szCs w:val="12"/>
                <w:lang w:val="uk-UA"/>
              </w:rPr>
            </w:pPr>
          </w:p>
          <w:p w:rsidR="007253E6" w:rsidRPr="000E66DA" w:rsidRDefault="007253E6" w:rsidP="00623B32">
            <w:pPr>
              <w:spacing w:after="0" w:line="20" w:lineRule="atLeast"/>
              <w:ind w:left="134" w:right="131"/>
              <w:contextualSpacing/>
              <w:jc w:val="both"/>
              <w:rPr>
                <w:rFonts w:ascii="Times New Roman" w:hAnsi="Times New Roman" w:cs="Times New Roman"/>
                <w:sz w:val="12"/>
                <w:szCs w:val="12"/>
                <w:lang w:val="uk-UA"/>
              </w:rPr>
            </w:pPr>
          </w:p>
          <w:p w:rsidR="0092197F" w:rsidRPr="000E66DA" w:rsidRDefault="0092197F" w:rsidP="00623B32">
            <w:pPr>
              <w:spacing w:after="0" w:line="20" w:lineRule="atLeast"/>
              <w:ind w:left="134" w:right="131"/>
              <w:contextualSpacing/>
              <w:jc w:val="both"/>
              <w:rPr>
                <w:rFonts w:ascii="Times New Roman" w:hAnsi="Times New Roman" w:cs="Times New Roman"/>
                <w:sz w:val="12"/>
                <w:szCs w:val="12"/>
                <w:lang w:val="uk-UA"/>
              </w:rPr>
            </w:pPr>
          </w:p>
          <w:p w:rsidR="0092197F" w:rsidRPr="000E66DA" w:rsidRDefault="0092197F" w:rsidP="00623B32">
            <w:pPr>
              <w:spacing w:after="0" w:line="20" w:lineRule="atLeast"/>
              <w:ind w:left="134" w:right="131"/>
              <w:contextualSpacing/>
              <w:jc w:val="both"/>
              <w:rPr>
                <w:rFonts w:ascii="Times New Roman" w:hAnsi="Times New Roman" w:cs="Times New Roman"/>
                <w:sz w:val="12"/>
                <w:szCs w:val="12"/>
                <w:lang w:val="uk-UA"/>
              </w:rPr>
            </w:pPr>
          </w:p>
          <w:p w:rsidR="0092197F" w:rsidRPr="000E66DA" w:rsidRDefault="0092197F" w:rsidP="00623B32">
            <w:pPr>
              <w:spacing w:after="0" w:line="20" w:lineRule="atLeast"/>
              <w:ind w:left="134" w:right="131"/>
              <w:contextualSpacing/>
              <w:jc w:val="both"/>
              <w:rPr>
                <w:rFonts w:ascii="Times New Roman" w:hAnsi="Times New Roman" w:cs="Times New Roman"/>
                <w:sz w:val="12"/>
                <w:szCs w:val="12"/>
                <w:lang w:val="uk-UA"/>
              </w:rPr>
            </w:pPr>
          </w:p>
          <w:p w:rsidR="0092197F" w:rsidRPr="000E66DA" w:rsidRDefault="0092197F" w:rsidP="00623B32">
            <w:pPr>
              <w:spacing w:after="0" w:line="20" w:lineRule="atLeast"/>
              <w:ind w:left="134" w:right="131"/>
              <w:contextualSpacing/>
              <w:jc w:val="both"/>
              <w:rPr>
                <w:rFonts w:ascii="Times New Roman" w:hAnsi="Times New Roman" w:cs="Times New Roman"/>
                <w:sz w:val="12"/>
                <w:szCs w:val="12"/>
                <w:lang w:val="uk-UA"/>
              </w:rPr>
            </w:pPr>
          </w:p>
          <w:p w:rsidR="007253E6" w:rsidRPr="000E66DA" w:rsidRDefault="007253E6" w:rsidP="00623B32">
            <w:pPr>
              <w:spacing w:after="0" w:line="20" w:lineRule="atLeast"/>
              <w:ind w:left="134" w:right="131"/>
              <w:contextualSpacing/>
              <w:jc w:val="both"/>
              <w:rPr>
                <w:rFonts w:ascii="Times New Roman" w:hAnsi="Times New Roman" w:cs="Times New Roman"/>
                <w:b/>
                <w:bCs/>
                <w:sz w:val="28"/>
                <w:szCs w:val="28"/>
                <w:lang w:val="uk-UA"/>
              </w:rPr>
            </w:pPr>
            <w:r w:rsidRPr="000E66DA">
              <w:rPr>
                <w:rFonts w:ascii="Times New Roman" w:hAnsi="Times New Roman" w:cs="Times New Roman"/>
                <w:b/>
                <w:bCs/>
                <w:sz w:val="28"/>
                <w:szCs w:val="28"/>
                <w:lang w:val="uk-UA"/>
              </w:rPr>
              <w:t>Для суб’єктів господарювання:</w:t>
            </w:r>
          </w:p>
          <w:p w:rsidR="007253E6" w:rsidRPr="000E66DA" w:rsidRDefault="007253E6" w:rsidP="00623B32">
            <w:pPr>
              <w:spacing w:after="0" w:line="20" w:lineRule="atLeast"/>
              <w:ind w:left="134" w:right="128" w:hanging="7"/>
              <w:contextualSpacing/>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 xml:space="preserve">Прийняття проєкту </w:t>
            </w:r>
            <w:r w:rsidR="00BC303A" w:rsidRPr="000E66DA">
              <w:rPr>
                <w:rFonts w:ascii="Times New Roman" w:hAnsi="Times New Roman" w:cs="Times New Roman"/>
                <w:sz w:val="28"/>
                <w:szCs w:val="28"/>
                <w:lang w:val="uk-UA" w:eastAsia="uk-UA"/>
              </w:rPr>
              <w:t xml:space="preserve">рішення </w:t>
            </w:r>
            <w:r w:rsidRPr="000E66DA">
              <w:rPr>
                <w:rFonts w:ascii="Times New Roman" w:hAnsi="Times New Roman" w:cs="Times New Roman"/>
                <w:sz w:val="28"/>
                <w:szCs w:val="28"/>
                <w:lang w:val="uk-UA" w:eastAsia="uk-UA"/>
              </w:rPr>
              <w:t>забезпечить:</w:t>
            </w:r>
          </w:p>
          <w:p w:rsidR="00C974DF" w:rsidRPr="000E66DA" w:rsidRDefault="007253E6" w:rsidP="007253E6">
            <w:pPr>
              <w:pStyle w:val="a8"/>
              <w:numPr>
                <w:ilvl w:val="0"/>
                <w:numId w:val="4"/>
              </w:numPr>
              <w:tabs>
                <w:tab w:val="left" w:pos="417"/>
              </w:tabs>
              <w:spacing w:after="0" w:line="20" w:lineRule="atLeast"/>
              <w:ind w:left="134" w:right="128" w:hanging="7"/>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 xml:space="preserve">чіткий механізм </w:t>
            </w:r>
            <w:r w:rsidR="00C974DF" w:rsidRPr="000E66DA">
              <w:rPr>
                <w:rFonts w:ascii="Times New Roman" w:hAnsi="Times New Roman" w:cs="Times New Roman"/>
                <w:sz w:val="28"/>
                <w:szCs w:val="28"/>
                <w:lang w:val="uk-UA" w:eastAsia="uk-UA"/>
              </w:rPr>
              <w:t>подання звітності організаторами азартних ігор;</w:t>
            </w:r>
          </w:p>
          <w:p w:rsidR="009061A2" w:rsidRPr="000E66DA" w:rsidRDefault="00C974DF" w:rsidP="00782A6E">
            <w:pPr>
              <w:pStyle w:val="a8"/>
              <w:numPr>
                <w:ilvl w:val="0"/>
                <w:numId w:val="5"/>
              </w:numPr>
              <w:tabs>
                <w:tab w:val="left" w:pos="417"/>
              </w:tabs>
              <w:spacing w:after="0" w:line="20" w:lineRule="atLeast"/>
              <w:ind w:left="134" w:right="131" w:firstLine="0"/>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 xml:space="preserve">прозорість діяльності організаторів азартних ігор та відповідне </w:t>
            </w:r>
            <w:r w:rsidR="00782A6E" w:rsidRPr="000E66DA">
              <w:rPr>
                <w:rFonts w:ascii="Times New Roman" w:hAnsi="Times New Roman" w:cs="Times New Roman"/>
                <w:sz w:val="28"/>
                <w:szCs w:val="28"/>
                <w:lang w:val="uk-UA"/>
              </w:rPr>
              <w:t>покращення суспільного сприйняття процесу легалізації азартних ігор.</w:t>
            </w:r>
            <w:r w:rsidR="004A4E13" w:rsidRPr="000E66DA">
              <w:rPr>
                <w:rFonts w:ascii="Times New Roman" w:hAnsi="Times New Roman" w:cs="Times New Roman"/>
                <w:sz w:val="28"/>
                <w:szCs w:val="28"/>
                <w:lang w:val="uk-UA"/>
              </w:rPr>
              <w:t xml:space="preserve"> </w:t>
            </w:r>
            <w:r w:rsidRPr="000E66DA">
              <w:rPr>
                <w:rFonts w:ascii="Times New Roman" w:hAnsi="Times New Roman" w:cs="Times New Roman"/>
                <w:sz w:val="28"/>
                <w:szCs w:val="28"/>
                <w:lang w:val="uk-UA"/>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ind w:left="134" w:right="131"/>
              <w:contextualSpacing/>
              <w:jc w:val="both"/>
              <w:rPr>
                <w:rFonts w:ascii="Times New Roman" w:hAnsi="Times New Roman" w:cs="Times New Roman"/>
                <w:b/>
                <w:bCs/>
                <w:sz w:val="28"/>
                <w:szCs w:val="28"/>
                <w:lang w:val="uk-UA" w:eastAsia="uk-UA"/>
              </w:rPr>
            </w:pPr>
            <w:r w:rsidRPr="000E66DA">
              <w:rPr>
                <w:rFonts w:ascii="Times New Roman" w:hAnsi="Times New Roman" w:cs="Times New Roman"/>
                <w:b/>
                <w:bCs/>
                <w:sz w:val="28"/>
                <w:szCs w:val="28"/>
                <w:lang w:val="uk-UA" w:eastAsia="uk-UA"/>
              </w:rPr>
              <w:lastRenderedPageBreak/>
              <w:t>Для держави:</w:t>
            </w:r>
          </w:p>
          <w:p w:rsidR="000B0893" w:rsidRPr="000E66DA" w:rsidRDefault="000B0893" w:rsidP="000B0893">
            <w:pPr>
              <w:spacing w:after="0" w:line="20" w:lineRule="atLeast"/>
              <w:ind w:left="56" w:right="130" w:firstLine="19"/>
              <w:contextualSpacing/>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 xml:space="preserve">Незначні витрати, пов’язані з процесами збору, обробки, перевірки та аналізу інформації, що міститься у звітності організаторів азартних ігор, які складуть </w:t>
            </w:r>
            <w:r w:rsidR="00507FE4">
              <w:rPr>
                <w:rFonts w:ascii="Times New Roman" w:hAnsi="Times New Roman" w:cs="Times New Roman"/>
                <w:sz w:val="28"/>
                <w:szCs w:val="28"/>
                <w:lang w:val="uk-UA" w:eastAsia="uk-UA"/>
              </w:rPr>
              <w:t xml:space="preserve">майже </w:t>
            </w:r>
            <w:r w:rsidR="00211A29">
              <w:rPr>
                <w:rFonts w:ascii="Times New Roman" w:hAnsi="Times New Roman" w:cs="Times New Roman"/>
                <w:sz w:val="28"/>
                <w:szCs w:val="28"/>
                <w:lang w:val="uk-UA" w:eastAsia="uk-UA"/>
              </w:rPr>
              <w:t>4</w:t>
            </w:r>
            <w:r w:rsidR="00507FE4">
              <w:rPr>
                <w:rFonts w:ascii="Times New Roman" w:hAnsi="Times New Roman" w:cs="Times New Roman"/>
                <w:sz w:val="28"/>
                <w:szCs w:val="28"/>
                <w:lang w:val="uk-UA" w:eastAsia="uk-UA"/>
              </w:rPr>
              <w:t>5</w:t>
            </w:r>
            <w:r w:rsidRPr="00ED7BA7">
              <w:rPr>
                <w:rFonts w:ascii="Times New Roman" w:hAnsi="Times New Roman" w:cs="Times New Roman"/>
                <w:sz w:val="28"/>
                <w:szCs w:val="28"/>
                <w:lang w:val="uk-UA" w:eastAsia="uk-UA"/>
              </w:rPr>
              <w:t xml:space="preserve"> тис. </w:t>
            </w:r>
            <w:proofErr w:type="spellStart"/>
            <w:r w:rsidRPr="00ED7BA7">
              <w:rPr>
                <w:rFonts w:ascii="Times New Roman" w:hAnsi="Times New Roman" w:cs="Times New Roman"/>
                <w:sz w:val="28"/>
                <w:szCs w:val="28"/>
                <w:lang w:val="uk-UA" w:eastAsia="uk-UA"/>
              </w:rPr>
              <w:t>грн</w:t>
            </w:r>
            <w:proofErr w:type="spellEnd"/>
            <w:r w:rsidRPr="00ED7BA7">
              <w:rPr>
                <w:rFonts w:ascii="Times New Roman" w:hAnsi="Times New Roman" w:cs="Times New Roman"/>
                <w:sz w:val="28"/>
                <w:szCs w:val="28"/>
                <w:lang w:val="uk-UA" w:eastAsia="uk-UA"/>
              </w:rPr>
              <w:t xml:space="preserve"> на рік.</w:t>
            </w:r>
          </w:p>
          <w:p w:rsidR="000B0893" w:rsidRPr="000E66DA" w:rsidRDefault="000B0893" w:rsidP="000B0893">
            <w:pPr>
              <w:spacing w:after="0" w:line="20" w:lineRule="atLeast"/>
              <w:ind w:left="56" w:right="130" w:firstLine="19"/>
              <w:contextualSpacing/>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 xml:space="preserve">Зазначені видатки складаються з витрат на оплату праці фахівців КРАІЛ та будуть здійснюватись в межах бюджетних </w:t>
            </w:r>
            <w:r w:rsidRPr="000E66DA">
              <w:rPr>
                <w:rFonts w:ascii="Times New Roman" w:hAnsi="Times New Roman" w:cs="Times New Roman"/>
                <w:sz w:val="28"/>
                <w:szCs w:val="28"/>
                <w:lang w:val="uk-UA" w:eastAsia="uk-UA"/>
              </w:rPr>
              <w:lastRenderedPageBreak/>
              <w:t>призначень на функціонування КРАІЛ.</w:t>
            </w:r>
          </w:p>
          <w:p w:rsidR="0092197F" w:rsidRPr="000E66DA" w:rsidRDefault="0092197F" w:rsidP="00623B32">
            <w:pPr>
              <w:spacing w:after="0" w:line="20" w:lineRule="atLeast"/>
              <w:ind w:left="134" w:right="131"/>
              <w:contextualSpacing/>
              <w:jc w:val="both"/>
              <w:rPr>
                <w:rFonts w:ascii="Times New Roman" w:hAnsi="Times New Roman" w:cs="Times New Roman"/>
                <w:b/>
                <w:bCs/>
                <w:sz w:val="28"/>
                <w:szCs w:val="28"/>
                <w:lang w:val="uk-UA" w:eastAsia="uk-UA"/>
              </w:rPr>
            </w:pPr>
          </w:p>
          <w:p w:rsidR="007253E6" w:rsidRPr="000E66DA" w:rsidRDefault="007253E6" w:rsidP="00623B32">
            <w:pPr>
              <w:spacing w:after="0" w:line="20" w:lineRule="atLeast"/>
              <w:ind w:left="134" w:right="131"/>
              <w:contextualSpacing/>
              <w:jc w:val="both"/>
              <w:rPr>
                <w:rFonts w:ascii="Times New Roman" w:hAnsi="Times New Roman" w:cs="Times New Roman"/>
                <w:b/>
                <w:bCs/>
                <w:sz w:val="28"/>
                <w:szCs w:val="28"/>
                <w:lang w:val="uk-UA" w:eastAsia="uk-UA"/>
              </w:rPr>
            </w:pPr>
            <w:r w:rsidRPr="000E66DA">
              <w:rPr>
                <w:rFonts w:ascii="Times New Roman" w:hAnsi="Times New Roman" w:cs="Times New Roman"/>
                <w:b/>
                <w:bCs/>
                <w:sz w:val="28"/>
                <w:szCs w:val="28"/>
                <w:lang w:val="uk-UA" w:eastAsia="uk-UA"/>
              </w:rPr>
              <w:t>Для суб’єктів господарювання:</w:t>
            </w:r>
          </w:p>
          <w:p w:rsidR="007253E6" w:rsidRPr="000E66DA" w:rsidRDefault="007253E6" w:rsidP="00507FE4">
            <w:pPr>
              <w:spacing w:after="0" w:line="20" w:lineRule="atLeast"/>
              <w:ind w:left="134" w:right="131"/>
              <w:contextualSpacing/>
              <w:jc w:val="both"/>
              <w:rPr>
                <w:rFonts w:ascii="Times New Roman" w:hAnsi="Times New Roman" w:cs="Times New Roman"/>
                <w:sz w:val="28"/>
                <w:szCs w:val="28"/>
                <w:lang w:val="uk-UA"/>
              </w:rPr>
            </w:pPr>
            <w:r w:rsidRPr="00600A3B">
              <w:rPr>
                <w:rFonts w:ascii="Times New Roman" w:hAnsi="Times New Roman" w:cs="Times New Roman"/>
                <w:sz w:val="28"/>
                <w:szCs w:val="28"/>
                <w:lang w:val="uk-UA"/>
              </w:rPr>
              <w:t xml:space="preserve">Незначні адміністративні витрати суб’єктів господарювання на виконання вимог проєкту </w:t>
            </w:r>
            <w:r w:rsidR="00BC1B48" w:rsidRPr="00600A3B">
              <w:rPr>
                <w:rFonts w:ascii="Times New Roman" w:hAnsi="Times New Roman" w:cs="Times New Roman"/>
                <w:sz w:val="28"/>
                <w:szCs w:val="28"/>
                <w:lang w:val="uk-UA"/>
              </w:rPr>
              <w:t>рішення</w:t>
            </w:r>
            <w:r w:rsidRPr="00600A3B">
              <w:rPr>
                <w:rFonts w:ascii="Times New Roman" w:hAnsi="Times New Roman" w:cs="Times New Roman"/>
                <w:sz w:val="28"/>
                <w:szCs w:val="28"/>
                <w:lang w:val="uk-UA"/>
              </w:rPr>
              <w:t xml:space="preserve">, а саме складуть майже </w:t>
            </w:r>
            <w:r w:rsidR="00211A29">
              <w:rPr>
                <w:rFonts w:ascii="Times New Roman" w:hAnsi="Times New Roman" w:cs="Times New Roman"/>
                <w:sz w:val="28"/>
                <w:szCs w:val="28"/>
                <w:lang w:val="uk-UA"/>
              </w:rPr>
              <w:t>11</w:t>
            </w:r>
            <w:r w:rsidR="00507FE4">
              <w:rPr>
                <w:rFonts w:ascii="Times New Roman" w:hAnsi="Times New Roman" w:cs="Times New Roman"/>
                <w:sz w:val="28"/>
                <w:szCs w:val="28"/>
                <w:lang w:val="uk-UA"/>
              </w:rPr>
              <w:t>4</w:t>
            </w:r>
            <w:r w:rsidR="00211A29">
              <w:rPr>
                <w:rFonts w:ascii="Times New Roman" w:hAnsi="Times New Roman" w:cs="Times New Roman"/>
                <w:sz w:val="28"/>
                <w:szCs w:val="28"/>
                <w:lang w:val="uk-UA"/>
              </w:rPr>
              <w:t>,8</w:t>
            </w:r>
            <w:r w:rsidRPr="00600A3B">
              <w:rPr>
                <w:rFonts w:ascii="Times New Roman" w:hAnsi="Times New Roman" w:cs="Times New Roman"/>
                <w:sz w:val="28"/>
                <w:szCs w:val="28"/>
                <w:lang w:val="uk-UA"/>
              </w:rPr>
              <w:t xml:space="preserve"> тис. грн. на рік або </w:t>
            </w:r>
            <w:r w:rsidR="00600A3B" w:rsidRPr="00600A3B">
              <w:rPr>
                <w:rFonts w:ascii="Times New Roman" w:hAnsi="Times New Roman" w:cs="Times New Roman"/>
                <w:sz w:val="28"/>
                <w:szCs w:val="28"/>
                <w:lang w:val="uk-UA"/>
              </w:rPr>
              <w:t xml:space="preserve">2,6 тис.  </w:t>
            </w:r>
            <w:proofErr w:type="spellStart"/>
            <w:r w:rsidR="00600A3B" w:rsidRPr="00600A3B">
              <w:rPr>
                <w:rFonts w:ascii="Times New Roman" w:hAnsi="Times New Roman" w:cs="Times New Roman"/>
                <w:sz w:val="28"/>
                <w:szCs w:val="28"/>
                <w:lang w:val="uk-UA"/>
              </w:rPr>
              <w:t>грн</w:t>
            </w:r>
            <w:proofErr w:type="spellEnd"/>
            <w:r w:rsidRPr="00600A3B">
              <w:rPr>
                <w:rFonts w:ascii="Times New Roman" w:hAnsi="Times New Roman" w:cs="Times New Roman"/>
                <w:sz w:val="28"/>
                <w:szCs w:val="28"/>
                <w:lang w:val="uk-UA"/>
              </w:rPr>
              <w:t xml:space="preserve"> в перерахунку на одного суб’єкта господарювання.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27639A">
            <w:pPr>
              <w:spacing w:after="0" w:line="20" w:lineRule="atLeast"/>
              <w:ind w:left="127" w:right="127"/>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lastRenderedPageBreak/>
              <w:t>Повністю вирішує проблему. Цей спосіб забезпечить:</w:t>
            </w:r>
            <w:r w:rsidR="00C974DF" w:rsidRPr="000E66DA">
              <w:rPr>
                <w:rFonts w:ascii="Times New Roman" w:hAnsi="Times New Roman" w:cs="Times New Roman"/>
                <w:sz w:val="28"/>
                <w:szCs w:val="28"/>
                <w:lang w:val="uk-UA" w:eastAsia="uk-UA"/>
              </w:rPr>
              <w:t xml:space="preserve"> створення інформаційно</w:t>
            </w:r>
            <w:r w:rsidR="000B0893" w:rsidRPr="000E66DA">
              <w:rPr>
                <w:rFonts w:ascii="Times New Roman" w:hAnsi="Times New Roman" w:cs="Times New Roman"/>
                <w:sz w:val="28"/>
                <w:szCs w:val="28"/>
                <w:lang w:val="uk-UA" w:eastAsia="uk-UA"/>
              </w:rPr>
              <w:t>-аналітичної</w:t>
            </w:r>
            <w:r w:rsidR="00C974DF" w:rsidRPr="000E66DA">
              <w:rPr>
                <w:rFonts w:ascii="Times New Roman" w:hAnsi="Times New Roman" w:cs="Times New Roman"/>
                <w:sz w:val="28"/>
                <w:szCs w:val="28"/>
                <w:lang w:val="uk-UA" w:eastAsia="uk-UA"/>
              </w:rPr>
              <w:t xml:space="preserve"> бази про діяльність організаторів азартних ігор, </w:t>
            </w:r>
          </w:p>
          <w:p w:rsidR="007253E6" w:rsidRPr="000E66DA" w:rsidRDefault="007253E6" w:rsidP="0027639A">
            <w:pPr>
              <w:spacing w:after="0" w:line="20" w:lineRule="atLeast"/>
              <w:ind w:left="127" w:right="127"/>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 xml:space="preserve">повноцінне функціонування системи державного нагляду (контролю)  у сфері організації </w:t>
            </w:r>
            <w:r w:rsidRPr="000E66DA">
              <w:rPr>
                <w:rFonts w:ascii="Times New Roman" w:hAnsi="Times New Roman" w:cs="Times New Roman"/>
                <w:sz w:val="28"/>
                <w:szCs w:val="28"/>
                <w:lang w:val="uk-UA"/>
              </w:rPr>
              <w:lastRenderedPageBreak/>
              <w:t>та проведення азартних ігор.</w:t>
            </w:r>
          </w:p>
          <w:p w:rsidR="004A4E13" w:rsidRPr="000E66DA" w:rsidRDefault="004A4E13" w:rsidP="0027639A">
            <w:pPr>
              <w:spacing w:after="0" w:line="20" w:lineRule="atLeast"/>
              <w:ind w:left="127" w:right="127"/>
              <w:contextualSpacing/>
              <w:jc w:val="both"/>
              <w:rPr>
                <w:rFonts w:ascii="Times New Roman" w:hAnsi="Times New Roman" w:cs="Times New Roman"/>
                <w:sz w:val="28"/>
                <w:szCs w:val="28"/>
                <w:lang w:val="uk-UA"/>
              </w:rPr>
            </w:pPr>
          </w:p>
          <w:p w:rsidR="004A4E13" w:rsidRPr="000E66DA" w:rsidRDefault="004A4E13" w:rsidP="0027639A">
            <w:pPr>
              <w:spacing w:after="0" w:line="20" w:lineRule="atLeast"/>
              <w:ind w:left="127" w:right="127"/>
              <w:contextualSpacing/>
              <w:jc w:val="both"/>
              <w:rPr>
                <w:rFonts w:ascii="Times New Roman" w:hAnsi="Times New Roman" w:cs="Times New Roman"/>
                <w:sz w:val="28"/>
                <w:szCs w:val="28"/>
                <w:lang w:val="uk-UA"/>
              </w:rPr>
            </w:pPr>
          </w:p>
          <w:p w:rsidR="000B0893" w:rsidRPr="000E66DA" w:rsidRDefault="000B0893" w:rsidP="0027639A">
            <w:pPr>
              <w:spacing w:after="0" w:line="20" w:lineRule="atLeast"/>
              <w:ind w:left="127" w:right="127"/>
              <w:contextualSpacing/>
              <w:jc w:val="both"/>
              <w:rPr>
                <w:rFonts w:ascii="Times New Roman" w:hAnsi="Times New Roman" w:cs="Times New Roman"/>
                <w:sz w:val="28"/>
                <w:szCs w:val="28"/>
                <w:lang w:val="uk-UA"/>
              </w:rPr>
            </w:pPr>
          </w:p>
          <w:p w:rsidR="004A4E13" w:rsidRPr="000E66DA" w:rsidRDefault="004A4E13" w:rsidP="0027639A">
            <w:pPr>
              <w:spacing w:after="0" w:line="20" w:lineRule="atLeast"/>
              <w:ind w:left="127" w:right="127"/>
              <w:contextualSpacing/>
              <w:jc w:val="both"/>
              <w:rPr>
                <w:rFonts w:ascii="Times New Roman" w:hAnsi="Times New Roman" w:cs="Times New Roman"/>
                <w:sz w:val="28"/>
                <w:szCs w:val="28"/>
                <w:lang w:val="uk-UA"/>
              </w:rPr>
            </w:pPr>
          </w:p>
          <w:p w:rsidR="007253E6" w:rsidRPr="000E66DA" w:rsidRDefault="007253E6" w:rsidP="0027639A">
            <w:pPr>
              <w:spacing w:after="0" w:line="20" w:lineRule="atLeast"/>
              <w:ind w:left="127" w:right="127"/>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 xml:space="preserve">Наявні адміністративні витрати суб’єкта господарювання на виконання вимог проєкту </w:t>
            </w:r>
            <w:r w:rsidR="002A03E5" w:rsidRPr="000E66DA">
              <w:rPr>
                <w:rFonts w:ascii="Times New Roman" w:hAnsi="Times New Roman" w:cs="Times New Roman"/>
                <w:sz w:val="28"/>
                <w:szCs w:val="28"/>
                <w:lang w:val="uk-UA"/>
              </w:rPr>
              <w:t xml:space="preserve">рішення </w:t>
            </w:r>
            <w:r w:rsidRPr="000E66DA">
              <w:rPr>
                <w:rFonts w:ascii="Times New Roman" w:hAnsi="Times New Roman" w:cs="Times New Roman"/>
                <w:sz w:val="28"/>
                <w:szCs w:val="28"/>
                <w:lang w:val="uk-UA"/>
              </w:rPr>
              <w:t>є незначними.</w:t>
            </w:r>
          </w:p>
          <w:p w:rsidR="007253E6" w:rsidRPr="000E66DA" w:rsidRDefault="00C974DF" w:rsidP="0027639A">
            <w:pPr>
              <w:spacing w:after="0" w:line="20" w:lineRule="atLeast"/>
              <w:ind w:left="127" w:right="127"/>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 xml:space="preserve">Запровадження пропонованого звітування стимулюватиме </w:t>
            </w:r>
            <w:r w:rsidR="0092197F" w:rsidRPr="000E66DA">
              <w:rPr>
                <w:rFonts w:ascii="Times New Roman" w:hAnsi="Times New Roman" w:cs="Times New Roman"/>
                <w:sz w:val="28"/>
                <w:szCs w:val="28"/>
                <w:lang w:val="uk-UA"/>
              </w:rPr>
              <w:t>організаторів азартних ігор</w:t>
            </w:r>
            <w:r w:rsidRPr="000E66DA">
              <w:rPr>
                <w:rFonts w:ascii="Times New Roman" w:hAnsi="Times New Roman" w:cs="Times New Roman"/>
                <w:color w:val="000000"/>
                <w:sz w:val="28"/>
                <w:szCs w:val="28"/>
                <w:lang w:val="uk-UA"/>
              </w:rPr>
              <w:t xml:space="preserve"> до ведення прозорої діяльності, а також підвищить їх відповідальність щодо дотримання вимог законодавства у </w:t>
            </w:r>
            <w:r w:rsidR="0092197F" w:rsidRPr="000E66DA">
              <w:rPr>
                <w:rFonts w:ascii="Times New Roman" w:hAnsi="Times New Roman" w:cs="Times New Roman"/>
                <w:color w:val="000000"/>
                <w:sz w:val="28"/>
                <w:szCs w:val="28"/>
                <w:lang w:val="uk-UA"/>
              </w:rPr>
              <w:t xml:space="preserve">цій </w:t>
            </w:r>
            <w:r w:rsidRPr="000E66DA">
              <w:rPr>
                <w:rFonts w:ascii="Times New Roman" w:hAnsi="Times New Roman" w:cs="Times New Roman"/>
                <w:color w:val="000000"/>
                <w:sz w:val="28"/>
                <w:szCs w:val="28"/>
                <w:lang w:val="uk-UA"/>
              </w:rPr>
              <w:t>сфері</w:t>
            </w:r>
            <w:r w:rsidR="0092197F" w:rsidRPr="000E66DA">
              <w:rPr>
                <w:rFonts w:ascii="Times New Roman" w:hAnsi="Times New Roman" w:cs="Times New Roman"/>
                <w:color w:val="000000"/>
                <w:sz w:val="28"/>
                <w:szCs w:val="28"/>
                <w:lang w:val="uk-UA"/>
              </w:rPr>
              <w:t>.</w:t>
            </w:r>
            <w:r w:rsidRPr="000E66DA">
              <w:rPr>
                <w:rFonts w:ascii="Times New Roman" w:hAnsi="Times New Roman" w:cs="Times New Roman"/>
                <w:color w:val="000000"/>
                <w:sz w:val="28"/>
                <w:szCs w:val="28"/>
                <w:lang w:val="uk-UA"/>
              </w:rPr>
              <w:t xml:space="preserve"> </w:t>
            </w:r>
          </w:p>
        </w:tc>
      </w:tr>
    </w:tbl>
    <w:p w:rsidR="007253E6" w:rsidRPr="000E66DA" w:rsidRDefault="007253E6" w:rsidP="007253E6">
      <w:pPr>
        <w:spacing w:after="0" w:line="20" w:lineRule="atLeast"/>
        <w:contextualSpacing/>
        <w:jc w:val="both"/>
        <w:rPr>
          <w:rFonts w:ascii="Times New Roman" w:hAnsi="Times New Roman" w:cs="Times New Roman"/>
          <w:sz w:val="28"/>
          <w:szCs w:val="28"/>
          <w:lang w:val="uk-UA"/>
        </w:rPr>
      </w:pPr>
      <w:bookmarkStart w:id="38" w:name="n160"/>
      <w:bookmarkEnd w:id="38"/>
    </w:p>
    <w:tbl>
      <w:tblPr>
        <w:tblW w:w="4995" w:type="pct"/>
        <w:tblLayout w:type="fixed"/>
        <w:tblCellMar>
          <w:top w:w="15" w:type="dxa"/>
          <w:left w:w="15" w:type="dxa"/>
          <w:bottom w:w="15" w:type="dxa"/>
          <w:right w:w="15" w:type="dxa"/>
        </w:tblCellMar>
        <w:tblLook w:val="0000" w:firstRow="0" w:lastRow="0" w:firstColumn="0" w:lastColumn="0" w:noHBand="0" w:noVBand="0"/>
      </w:tblPr>
      <w:tblGrid>
        <w:gridCol w:w="1913"/>
        <w:gridCol w:w="4744"/>
        <w:gridCol w:w="3001"/>
      </w:tblGrid>
      <w:tr w:rsidR="007253E6" w:rsidRPr="000E66DA" w:rsidTr="00623B32">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r w:rsidRPr="000E66DA">
              <w:rPr>
                <w:rFonts w:ascii="Times New Roman" w:hAnsi="Times New Roman" w:cs="Times New Roman"/>
                <w:b/>
                <w:bCs/>
                <w:sz w:val="28"/>
                <w:szCs w:val="28"/>
                <w:lang w:val="uk-UA" w:eastAsia="uk-UA"/>
              </w:rPr>
              <w:t>Рейтинг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r w:rsidRPr="000E66DA">
              <w:rPr>
                <w:rFonts w:ascii="Times New Roman" w:hAnsi="Times New Roman" w:cs="Times New Roman"/>
                <w:b/>
                <w:bCs/>
                <w:sz w:val="28"/>
                <w:szCs w:val="28"/>
                <w:lang w:val="uk-UA" w:eastAsia="uk-UA"/>
              </w:rPr>
              <w:t>Аргументи щодо переваги обраної альтернативи/причини відмови від альтернативи</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3E6" w:rsidRPr="000E66DA" w:rsidRDefault="007253E6" w:rsidP="00623B32">
            <w:pPr>
              <w:spacing w:after="0" w:line="20" w:lineRule="atLeast"/>
              <w:contextualSpacing/>
              <w:jc w:val="center"/>
              <w:rPr>
                <w:rFonts w:ascii="Times New Roman" w:hAnsi="Times New Roman" w:cs="Times New Roman"/>
                <w:b/>
                <w:bCs/>
                <w:sz w:val="28"/>
                <w:szCs w:val="28"/>
                <w:lang w:val="uk-UA"/>
              </w:rPr>
            </w:pPr>
            <w:r w:rsidRPr="000E66DA">
              <w:rPr>
                <w:rFonts w:ascii="Times New Roman" w:hAnsi="Times New Roman" w:cs="Times New Roman"/>
                <w:b/>
                <w:bCs/>
                <w:sz w:val="28"/>
                <w:szCs w:val="28"/>
                <w:lang w:val="uk-UA" w:eastAsia="uk-UA"/>
              </w:rPr>
              <w:t>Оцінка ризику зовнішніх чинників на дію запропонованого регуляторного акта</w:t>
            </w:r>
          </w:p>
        </w:tc>
      </w:tr>
      <w:tr w:rsidR="007253E6" w:rsidRPr="000E66DA" w:rsidTr="00623B32">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Альтернатива 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051560">
            <w:pPr>
              <w:spacing w:after="0" w:line="20" w:lineRule="atLeast"/>
              <w:ind w:left="60" w:right="105"/>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 xml:space="preserve">Залишення наявної на сьогодні ситуації без змін не забезпечить досягнення визначених цілей. Зазначені в розділі І АРВ проблеми не будуть вирішені. Відсутність визначеного порядку </w:t>
            </w:r>
            <w:r w:rsidR="00D55C49" w:rsidRPr="000E66DA">
              <w:rPr>
                <w:rFonts w:ascii="Times New Roman" w:hAnsi="Times New Roman" w:cs="Times New Roman"/>
                <w:sz w:val="28"/>
                <w:szCs w:val="28"/>
                <w:lang w:val="uk-UA" w:eastAsia="uk-UA"/>
              </w:rPr>
              <w:t xml:space="preserve">подання </w:t>
            </w:r>
            <w:r w:rsidR="00D55C49" w:rsidRPr="000E66DA">
              <w:rPr>
                <w:rFonts w:ascii="Times New Roman" w:hAnsi="Times New Roman" w:cs="Times New Roman"/>
                <w:sz w:val="28"/>
                <w:szCs w:val="28"/>
                <w:lang w:val="uk-UA" w:eastAsia="uk-UA"/>
              </w:rPr>
              <w:lastRenderedPageBreak/>
              <w:t xml:space="preserve">звітності організаторами азартних ігор </w:t>
            </w:r>
            <w:r w:rsidRPr="000E66DA">
              <w:rPr>
                <w:rFonts w:ascii="Times New Roman" w:hAnsi="Times New Roman" w:cs="Times New Roman"/>
                <w:sz w:val="28"/>
                <w:szCs w:val="28"/>
                <w:lang w:val="uk-UA" w:eastAsia="uk-UA"/>
              </w:rPr>
              <w:t xml:space="preserve">лише сприятиме </w:t>
            </w:r>
            <w:r w:rsidR="00D55C49" w:rsidRPr="000E66DA">
              <w:rPr>
                <w:rFonts w:ascii="Times New Roman" w:hAnsi="Times New Roman" w:cs="Times New Roman"/>
                <w:sz w:val="28"/>
                <w:szCs w:val="28"/>
                <w:lang w:val="uk-UA" w:eastAsia="uk-UA"/>
              </w:rPr>
              <w:t>закритості інформації про діяльність організаторів азартних ігор</w:t>
            </w:r>
            <w:r w:rsidRPr="000E66DA">
              <w:rPr>
                <w:rFonts w:ascii="Times New Roman" w:hAnsi="Times New Roman" w:cs="Times New Roman"/>
                <w:sz w:val="28"/>
                <w:szCs w:val="28"/>
                <w:lang w:val="uk-UA" w:eastAsia="uk-UA"/>
              </w:rPr>
              <w:t xml:space="preserve">,  </w:t>
            </w:r>
            <w:r w:rsidR="00051560" w:rsidRPr="000E66DA">
              <w:rPr>
                <w:rFonts w:ascii="Times New Roman" w:hAnsi="Times New Roman" w:cs="Times New Roman"/>
                <w:sz w:val="28"/>
                <w:szCs w:val="28"/>
                <w:lang w:val="uk-UA" w:eastAsia="uk-UA"/>
              </w:rPr>
              <w:t xml:space="preserve">а також відсутності повноцінного контролю </w:t>
            </w:r>
            <w:r w:rsidRPr="000E66DA">
              <w:rPr>
                <w:rFonts w:ascii="Times New Roman" w:hAnsi="Times New Roman" w:cs="Times New Roman"/>
                <w:sz w:val="28"/>
                <w:szCs w:val="28"/>
                <w:lang w:val="uk-UA" w:eastAsia="uk-UA"/>
              </w:rPr>
              <w:t>держав</w:t>
            </w:r>
            <w:r w:rsidR="00051560" w:rsidRPr="000E66DA">
              <w:rPr>
                <w:rFonts w:ascii="Times New Roman" w:hAnsi="Times New Roman" w:cs="Times New Roman"/>
                <w:sz w:val="28"/>
                <w:szCs w:val="28"/>
                <w:lang w:val="uk-UA" w:eastAsia="uk-UA"/>
              </w:rPr>
              <w:t xml:space="preserve">ою </w:t>
            </w:r>
            <w:r w:rsidRPr="000E66DA">
              <w:rPr>
                <w:rFonts w:ascii="Times New Roman" w:hAnsi="Times New Roman" w:cs="Times New Roman"/>
                <w:sz w:val="28"/>
                <w:szCs w:val="28"/>
                <w:lang w:val="uk-UA" w:eastAsia="uk-UA"/>
              </w:rPr>
              <w:t>такої діяльності.</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ind w:left="154" w:right="158"/>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lastRenderedPageBreak/>
              <w:t>Зовнішні чинники, що впливатимуть на дію регуляторного акта, відсутні</w:t>
            </w:r>
            <w:r w:rsidR="00D55C49" w:rsidRPr="000E66DA">
              <w:rPr>
                <w:rFonts w:ascii="Times New Roman" w:hAnsi="Times New Roman" w:cs="Times New Roman"/>
                <w:sz w:val="28"/>
                <w:szCs w:val="28"/>
                <w:lang w:val="uk-UA"/>
              </w:rPr>
              <w:t>.</w:t>
            </w:r>
          </w:p>
        </w:tc>
      </w:tr>
      <w:tr w:rsidR="007253E6" w:rsidRPr="000E66DA" w:rsidTr="00623B32">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lastRenderedPageBreak/>
              <w:t>Альтернатива 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ind w:left="60" w:right="105"/>
              <w:contextualSpacing/>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 xml:space="preserve">Прийняття акта у повному обсязі забезпечить досягнення задекларованих цілей та є необхідним і достатнім способом вирішення проблеми. Обрання альтернативи 2 зумовлене тим, що прийняття запропонованого проєкту дозволить усунути прогалини нормативно-правового регулювання, а також </w:t>
            </w:r>
          </w:p>
          <w:p w:rsidR="007253E6" w:rsidRPr="000E66DA" w:rsidRDefault="007253E6" w:rsidP="00D55C49">
            <w:pPr>
              <w:spacing w:after="0" w:line="20" w:lineRule="atLeast"/>
              <w:ind w:left="60" w:right="105"/>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eastAsia="uk-UA"/>
              </w:rPr>
              <w:t>сприятиме покращенню стану дотримання організаторами азартних ігор</w:t>
            </w:r>
            <w:r w:rsidR="00D55C49" w:rsidRPr="000E66DA">
              <w:rPr>
                <w:rFonts w:ascii="Times New Roman" w:hAnsi="Times New Roman" w:cs="Times New Roman"/>
                <w:sz w:val="28"/>
                <w:szCs w:val="28"/>
                <w:lang w:val="uk-UA" w:eastAsia="uk-UA"/>
              </w:rPr>
              <w:t xml:space="preserve"> вимог законодавства.</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7253E6" w:rsidRPr="000E66DA" w:rsidRDefault="007253E6" w:rsidP="00623B32">
            <w:pPr>
              <w:spacing w:after="0" w:line="20" w:lineRule="atLeast"/>
              <w:ind w:left="154" w:right="158"/>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Зовнішні чинники, що впливатимуть на дію регуляторного акта, відсутні</w:t>
            </w:r>
            <w:r w:rsidR="00D55C49" w:rsidRPr="000E66DA">
              <w:rPr>
                <w:rFonts w:ascii="Times New Roman" w:hAnsi="Times New Roman" w:cs="Times New Roman"/>
                <w:sz w:val="28"/>
                <w:szCs w:val="28"/>
                <w:lang w:val="uk-UA"/>
              </w:rPr>
              <w:t>.</w:t>
            </w:r>
          </w:p>
        </w:tc>
      </w:tr>
    </w:tbl>
    <w:p w:rsidR="00051560" w:rsidRPr="000E66DA" w:rsidRDefault="00051560" w:rsidP="007253E6">
      <w:pPr>
        <w:shd w:val="clear" w:color="auto" w:fill="FFFFFF"/>
        <w:spacing w:after="0" w:line="20" w:lineRule="atLeast"/>
        <w:contextualSpacing/>
        <w:jc w:val="center"/>
        <w:rPr>
          <w:rFonts w:ascii="Times New Roman" w:hAnsi="Times New Roman" w:cs="Times New Roman"/>
          <w:b/>
          <w:bCs/>
          <w:sz w:val="28"/>
          <w:szCs w:val="28"/>
          <w:lang w:val="uk-UA" w:eastAsia="uk-UA"/>
        </w:rPr>
      </w:pPr>
      <w:bookmarkStart w:id="39" w:name="n161"/>
      <w:bookmarkStart w:id="40" w:name="n152"/>
      <w:bookmarkEnd w:id="39"/>
      <w:bookmarkEnd w:id="40"/>
    </w:p>
    <w:p w:rsidR="007253E6" w:rsidRPr="000E66DA" w:rsidRDefault="007253E6" w:rsidP="007253E6">
      <w:pPr>
        <w:shd w:val="clear" w:color="auto" w:fill="FFFFFF"/>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b/>
          <w:bCs/>
          <w:sz w:val="28"/>
          <w:szCs w:val="28"/>
          <w:lang w:val="uk-UA" w:eastAsia="uk-UA"/>
        </w:rPr>
        <w:t>V. Механізми та заходи, які забезпечать розв’язання визначеної проблеми</w:t>
      </w:r>
    </w:p>
    <w:p w:rsidR="007253E6" w:rsidRPr="0018789A" w:rsidRDefault="007253E6" w:rsidP="007253E6">
      <w:pPr>
        <w:shd w:val="clear" w:color="auto" w:fill="FFFFFF"/>
        <w:spacing w:after="0" w:line="20" w:lineRule="atLeast"/>
        <w:contextualSpacing/>
        <w:jc w:val="center"/>
        <w:rPr>
          <w:rFonts w:ascii="Times New Roman" w:hAnsi="Times New Roman" w:cs="Times New Roman"/>
          <w:sz w:val="28"/>
          <w:szCs w:val="28"/>
          <w:lang w:val="uk-UA" w:eastAsia="uk-UA"/>
        </w:rPr>
      </w:pPr>
    </w:p>
    <w:p w:rsidR="007253E6" w:rsidRPr="000E66DA" w:rsidRDefault="007253E6" w:rsidP="007253E6">
      <w:pPr>
        <w:spacing w:after="0" w:line="20" w:lineRule="atLeast"/>
        <w:ind w:firstLine="709"/>
        <w:contextualSpacing/>
        <w:jc w:val="both"/>
        <w:rPr>
          <w:rFonts w:ascii="Times New Roman" w:hAnsi="Times New Roman" w:cs="Times New Roman"/>
          <w:sz w:val="28"/>
          <w:szCs w:val="28"/>
          <w:lang w:val="uk-UA" w:eastAsia="uk-UA"/>
        </w:rPr>
      </w:pPr>
      <w:bookmarkStart w:id="41" w:name="n163"/>
      <w:bookmarkStart w:id="42" w:name="n162"/>
      <w:bookmarkEnd w:id="41"/>
      <w:bookmarkEnd w:id="42"/>
      <w:r w:rsidRPr="000E66DA">
        <w:rPr>
          <w:rFonts w:ascii="Times New Roman" w:hAnsi="Times New Roman" w:cs="Times New Roman"/>
          <w:sz w:val="28"/>
          <w:szCs w:val="28"/>
          <w:lang w:val="uk-UA" w:eastAsia="uk-UA"/>
        </w:rPr>
        <w:t xml:space="preserve">Для досягнення цілей, визначених у розділі ІІ АРВ, проєктом </w:t>
      </w:r>
      <w:r w:rsidR="00684B26" w:rsidRPr="000E66DA">
        <w:rPr>
          <w:rFonts w:ascii="Times New Roman" w:hAnsi="Times New Roman" w:cs="Times New Roman"/>
          <w:sz w:val="28"/>
          <w:szCs w:val="28"/>
          <w:lang w:val="uk-UA" w:eastAsia="uk-UA"/>
        </w:rPr>
        <w:t xml:space="preserve">рішення </w:t>
      </w:r>
      <w:r w:rsidRPr="000E66DA">
        <w:rPr>
          <w:rFonts w:ascii="Times New Roman" w:hAnsi="Times New Roman" w:cs="Times New Roman"/>
          <w:sz w:val="28"/>
          <w:szCs w:val="28"/>
          <w:lang w:val="uk-UA" w:eastAsia="uk-UA"/>
        </w:rPr>
        <w:t>передбачено механізм розв’язання проблеми, наведеної у розділі І АРВ</w:t>
      </w:r>
      <w:r w:rsidR="008E78B6" w:rsidRPr="000E66DA">
        <w:rPr>
          <w:rFonts w:ascii="Times New Roman" w:hAnsi="Times New Roman" w:cs="Times New Roman"/>
          <w:sz w:val="28"/>
          <w:szCs w:val="28"/>
          <w:lang w:val="uk-UA" w:eastAsia="uk-UA"/>
        </w:rPr>
        <w:t>, а саме</w:t>
      </w:r>
      <w:r w:rsidRPr="000E66DA">
        <w:rPr>
          <w:rFonts w:ascii="Times New Roman" w:hAnsi="Times New Roman" w:cs="Times New Roman"/>
          <w:sz w:val="28"/>
          <w:szCs w:val="28"/>
          <w:lang w:val="uk-UA" w:eastAsia="uk-UA"/>
        </w:rPr>
        <w:t xml:space="preserve">: </w:t>
      </w:r>
    </w:p>
    <w:p w:rsidR="00C93428" w:rsidRPr="000E66DA" w:rsidRDefault="007253E6" w:rsidP="007253E6">
      <w:pPr>
        <w:pStyle w:val="a8"/>
        <w:numPr>
          <w:ilvl w:val="0"/>
          <w:numId w:val="6"/>
        </w:numPr>
        <w:spacing w:after="0" w:line="20" w:lineRule="atLeast"/>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 xml:space="preserve">затвердити </w:t>
      </w:r>
      <w:r w:rsidR="00F04FB5" w:rsidRPr="000E66DA">
        <w:rPr>
          <w:rFonts w:ascii="Times New Roman" w:hAnsi="Times New Roman" w:cs="Times New Roman"/>
          <w:sz w:val="28"/>
          <w:szCs w:val="28"/>
          <w:lang w:val="uk-UA" w:eastAsia="uk-UA"/>
        </w:rPr>
        <w:t>перелік та форми звітності організаторів азартних ігор</w:t>
      </w:r>
      <w:r w:rsidR="00C93428" w:rsidRPr="000E66DA">
        <w:rPr>
          <w:rFonts w:ascii="Times New Roman" w:hAnsi="Times New Roman" w:cs="Times New Roman"/>
          <w:sz w:val="28"/>
          <w:szCs w:val="28"/>
          <w:lang w:val="uk-UA" w:eastAsia="uk-UA"/>
        </w:rPr>
        <w:t>;</w:t>
      </w:r>
      <w:r w:rsidR="00F04FB5" w:rsidRPr="000E66DA">
        <w:rPr>
          <w:rFonts w:ascii="Times New Roman" w:hAnsi="Times New Roman" w:cs="Times New Roman"/>
          <w:sz w:val="28"/>
          <w:szCs w:val="28"/>
          <w:lang w:val="uk-UA" w:eastAsia="uk-UA"/>
        </w:rPr>
        <w:t xml:space="preserve"> </w:t>
      </w:r>
    </w:p>
    <w:p w:rsidR="007253E6" w:rsidRPr="000E66DA" w:rsidRDefault="00C93428" w:rsidP="007253E6">
      <w:pPr>
        <w:pStyle w:val="a8"/>
        <w:numPr>
          <w:ilvl w:val="0"/>
          <w:numId w:val="6"/>
        </w:numPr>
        <w:spacing w:after="0" w:line="20" w:lineRule="atLeast"/>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 xml:space="preserve">затвердити </w:t>
      </w:r>
      <w:r w:rsidR="00684B26" w:rsidRPr="000E66DA">
        <w:rPr>
          <w:rFonts w:ascii="Times New Roman" w:hAnsi="Times New Roman" w:cs="Times New Roman"/>
          <w:sz w:val="28"/>
          <w:szCs w:val="28"/>
          <w:lang w:val="uk-UA" w:eastAsia="uk-UA"/>
        </w:rPr>
        <w:t>порядок подання звітності організаторами азартних ігор</w:t>
      </w:r>
      <w:r w:rsidR="007253E6" w:rsidRPr="000E66DA">
        <w:rPr>
          <w:rFonts w:ascii="Times New Roman" w:hAnsi="Times New Roman" w:cs="Times New Roman"/>
          <w:sz w:val="28"/>
          <w:szCs w:val="28"/>
          <w:lang w:val="uk-UA" w:eastAsia="uk-UA"/>
        </w:rPr>
        <w:t>;</w:t>
      </w:r>
    </w:p>
    <w:p w:rsidR="007253E6" w:rsidRPr="000E66DA" w:rsidRDefault="00684B26" w:rsidP="007253E6">
      <w:pPr>
        <w:pStyle w:val="a8"/>
        <w:numPr>
          <w:ilvl w:val="0"/>
          <w:numId w:val="6"/>
        </w:numPr>
        <w:spacing w:after="0" w:line="20" w:lineRule="atLeast"/>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визначити зміст та обсяг інформації, які повинні мати відображення у звіт</w:t>
      </w:r>
      <w:r w:rsidR="00C93428" w:rsidRPr="000E66DA">
        <w:rPr>
          <w:rFonts w:ascii="Times New Roman" w:hAnsi="Times New Roman" w:cs="Times New Roman"/>
          <w:sz w:val="28"/>
          <w:szCs w:val="28"/>
          <w:lang w:val="uk-UA"/>
        </w:rPr>
        <w:t>ах</w:t>
      </w:r>
      <w:r w:rsidRPr="000E66DA">
        <w:rPr>
          <w:rFonts w:ascii="Times New Roman" w:hAnsi="Times New Roman" w:cs="Times New Roman"/>
          <w:sz w:val="28"/>
          <w:szCs w:val="28"/>
          <w:lang w:val="uk-UA"/>
        </w:rPr>
        <w:t xml:space="preserve"> організатор</w:t>
      </w:r>
      <w:r w:rsidR="00C93428" w:rsidRPr="000E66DA">
        <w:rPr>
          <w:rFonts w:ascii="Times New Roman" w:hAnsi="Times New Roman" w:cs="Times New Roman"/>
          <w:sz w:val="28"/>
          <w:szCs w:val="28"/>
          <w:lang w:val="uk-UA"/>
        </w:rPr>
        <w:t>ів</w:t>
      </w:r>
      <w:r w:rsidRPr="000E66DA">
        <w:rPr>
          <w:rFonts w:ascii="Times New Roman" w:hAnsi="Times New Roman" w:cs="Times New Roman"/>
          <w:sz w:val="28"/>
          <w:szCs w:val="28"/>
          <w:lang w:val="uk-UA"/>
        </w:rPr>
        <w:t xml:space="preserve"> азартних ігор</w:t>
      </w:r>
      <w:r w:rsidR="007253E6" w:rsidRPr="000E66DA">
        <w:rPr>
          <w:rFonts w:ascii="Times New Roman" w:hAnsi="Times New Roman" w:cs="Times New Roman"/>
          <w:sz w:val="28"/>
          <w:szCs w:val="28"/>
          <w:lang w:val="uk-UA"/>
        </w:rPr>
        <w:t>;</w:t>
      </w:r>
    </w:p>
    <w:p w:rsidR="007253E6" w:rsidRPr="000E66DA" w:rsidRDefault="00684B26" w:rsidP="007253E6">
      <w:pPr>
        <w:pStyle w:val="a8"/>
        <w:numPr>
          <w:ilvl w:val="0"/>
          <w:numId w:val="6"/>
        </w:numPr>
        <w:spacing w:after="0" w:line="20" w:lineRule="atLeast"/>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визначити періодичність подання звітності організаторами азартних ігор до КРАІЛ</w:t>
      </w:r>
      <w:r w:rsidR="007253E6" w:rsidRPr="000E66DA">
        <w:rPr>
          <w:rFonts w:ascii="Times New Roman" w:hAnsi="Times New Roman" w:cs="Times New Roman"/>
          <w:sz w:val="28"/>
          <w:szCs w:val="28"/>
          <w:lang w:val="uk-UA" w:eastAsia="uk-UA"/>
        </w:rPr>
        <w:t>;</w:t>
      </w:r>
    </w:p>
    <w:p w:rsidR="007253E6" w:rsidRPr="000E66DA" w:rsidRDefault="007253E6" w:rsidP="007253E6">
      <w:pPr>
        <w:pStyle w:val="a8"/>
        <w:numPr>
          <w:ilvl w:val="0"/>
          <w:numId w:val="6"/>
        </w:numPr>
        <w:spacing w:after="0" w:line="20" w:lineRule="atLeast"/>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 xml:space="preserve">встановити чіткий </w:t>
      </w:r>
      <w:r w:rsidR="00F36524" w:rsidRPr="000E66DA">
        <w:rPr>
          <w:rFonts w:ascii="Times New Roman" w:hAnsi="Times New Roman" w:cs="Times New Roman"/>
          <w:sz w:val="28"/>
          <w:szCs w:val="28"/>
          <w:lang w:val="uk-UA" w:eastAsia="uk-UA"/>
        </w:rPr>
        <w:t xml:space="preserve">механізм </w:t>
      </w:r>
      <w:r w:rsidR="002B57DA" w:rsidRPr="000E66DA">
        <w:rPr>
          <w:rFonts w:ascii="Times New Roman" w:hAnsi="Times New Roman" w:cs="Times New Roman"/>
          <w:sz w:val="28"/>
          <w:szCs w:val="28"/>
          <w:lang w:val="uk-UA" w:eastAsia="uk-UA"/>
        </w:rPr>
        <w:t>передачі звітності організатором азартних ігор до КРАІЛ</w:t>
      </w:r>
      <w:r w:rsidR="00C93428" w:rsidRPr="000E66DA">
        <w:rPr>
          <w:rFonts w:ascii="Times New Roman" w:hAnsi="Times New Roman" w:cs="Times New Roman"/>
          <w:sz w:val="28"/>
          <w:szCs w:val="28"/>
          <w:lang w:val="uk-UA" w:eastAsia="uk-UA"/>
        </w:rPr>
        <w:t>.</w:t>
      </w:r>
    </w:p>
    <w:p w:rsidR="002B57DA" w:rsidRPr="000E66DA" w:rsidRDefault="002B57DA" w:rsidP="007253E6">
      <w:pPr>
        <w:spacing w:after="0" w:line="20" w:lineRule="atLeast"/>
        <w:ind w:firstLine="709"/>
        <w:contextualSpacing/>
        <w:jc w:val="both"/>
        <w:rPr>
          <w:rFonts w:ascii="Times New Roman" w:hAnsi="Times New Roman" w:cs="Times New Roman"/>
          <w:sz w:val="28"/>
          <w:szCs w:val="28"/>
          <w:lang w:val="uk-UA" w:eastAsia="uk-UA"/>
        </w:rPr>
      </w:pPr>
      <w:r w:rsidRPr="000E66DA">
        <w:rPr>
          <w:rFonts w:ascii="Times New Roman" w:hAnsi="Times New Roman" w:cs="Times New Roman"/>
          <w:sz w:val="28"/>
          <w:szCs w:val="28"/>
          <w:lang w:val="uk-UA" w:eastAsia="uk-UA"/>
        </w:rPr>
        <w:t xml:space="preserve">Крім того, </w:t>
      </w:r>
      <w:r w:rsidR="000E5151" w:rsidRPr="000E66DA">
        <w:rPr>
          <w:rFonts w:ascii="Times New Roman" w:hAnsi="Times New Roman" w:cs="Times New Roman"/>
          <w:sz w:val="28"/>
          <w:szCs w:val="28"/>
          <w:lang w:val="uk-UA" w:eastAsia="uk-UA"/>
        </w:rPr>
        <w:t xml:space="preserve">передбачена </w:t>
      </w:r>
      <w:r w:rsidR="00B82DE0" w:rsidRPr="000E66DA">
        <w:rPr>
          <w:rFonts w:ascii="Times New Roman" w:hAnsi="Times New Roman" w:cs="Times New Roman"/>
          <w:sz w:val="28"/>
          <w:szCs w:val="28"/>
          <w:lang w:val="uk-UA" w:eastAsia="uk-UA"/>
        </w:rPr>
        <w:t xml:space="preserve">можливість </w:t>
      </w:r>
      <w:r w:rsidR="000E5151" w:rsidRPr="000E66DA">
        <w:rPr>
          <w:rFonts w:ascii="Times New Roman" w:hAnsi="Times New Roman" w:cs="Times New Roman"/>
          <w:sz w:val="28"/>
          <w:szCs w:val="28"/>
          <w:lang w:val="uk-UA" w:eastAsia="uk-UA"/>
        </w:rPr>
        <w:t>подання звітності організаторами азартних ігор</w:t>
      </w:r>
      <w:r w:rsidR="00B82DE0" w:rsidRPr="000E66DA">
        <w:rPr>
          <w:rFonts w:ascii="Times New Roman" w:hAnsi="Times New Roman" w:cs="Times New Roman"/>
          <w:sz w:val="28"/>
          <w:szCs w:val="28"/>
          <w:lang w:val="uk-UA" w:eastAsia="uk-UA"/>
        </w:rPr>
        <w:t xml:space="preserve"> як</w:t>
      </w:r>
      <w:r w:rsidR="000E5151" w:rsidRPr="000E66DA">
        <w:rPr>
          <w:rFonts w:ascii="Times New Roman" w:hAnsi="Times New Roman" w:cs="Times New Roman"/>
          <w:sz w:val="28"/>
          <w:szCs w:val="28"/>
          <w:lang w:val="uk-UA" w:eastAsia="uk-UA"/>
        </w:rPr>
        <w:t xml:space="preserve"> у електронн</w:t>
      </w:r>
      <w:r w:rsidR="00B82DE0" w:rsidRPr="000E66DA">
        <w:rPr>
          <w:rFonts w:ascii="Times New Roman" w:hAnsi="Times New Roman" w:cs="Times New Roman"/>
          <w:sz w:val="28"/>
          <w:szCs w:val="28"/>
          <w:lang w:val="uk-UA" w:eastAsia="uk-UA"/>
        </w:rPr>
        <w:t>ому,</w:t>
      </w:r>
      <w:r w:rsidR="000E5151" w:rsidRPr="000E66DA">
        <w:rPr>
          <w:rFonts w:ascii="Times New Roman" w:hAnsi="Times New Roman" w:cs="Times New Roman"/>
          <w:sz w:val="28"/>
          <w:szCs w:val="28"/>
          <w:lang w:val="uk-UA" w:eastAsia="uk-UA"/>
        </w:rPr>
        <w:t xml:space="preserve"> та</w:t>
      </w:r>
      <w:r w:rsidR="00B82DE0" w:rsidRPr="000E66DA">
        <w:rPr>
          <w:rFonts w:ascii="Times New Roman" w:hAnsi="Times New Roman" w:cs="Times New Roman"/>
          <w:sz w:val="28"/>
          <w:szCs w:val="28"/>
          <w:lang w:val="uk-UA" w:eastAsia="uk-UA"/>
        </w:rPr>
        <w:t>к і в</w:t>
      </w:r>
      <w:r w:rsidR="000E5151" w:rsidRPr="000E66DA">
        <w:rPr>
          <w:rFonts w:ascii="Times New Roman" w:hAnsi="Times New Roman" w:cs="Times New Roman"/>
          <w:sz w:val="28"/>
          <w:szCs w:val="28"/>
          <w:lang w:val="uk-UA" w:eastAsia="uk-UA"/>
        </w:rPr>
        <w:t xml:space="preserve"> паперов</w:t>
      </w:r>
      <w:r w:rsidR="008E78B6" w:rsidRPr="000E66DA">
        <w:rPr>
          <w:rFonts w:ascii="Times New Roman" w:hAnsi="Times New Roman" w:cs="Times New Roman"/>
          <w:sz w:val="28"/>
          <w:szCs w:val="28"/>
          <w:lang w:val="uk-UA" w:eastAsia="uk-UA"/>
        </w:rPr>
        <w:t>ому вигляді (за вибором організатора азартних ігор).</w:t>
      </w:r>
      <w:r w:rsidR="00B82DE0" w:rsidRPr="000E66DA">
        <w:rPr>
          <w:rFonts w:ascii="Times New Roman" w:hAnsi="Times New Roman" w:cs="Times New Roman"/>
          <w:sz w:val="28"/>
          <w:szCs w:val="28"/>
          <w:lang w:val="uk-UA" w:eastAsia="uk-UA"/>
        </w:rPr>
        <w:t xml:space="preserve"> </w:t>
      </w:r>
      <w:r w:rsidR="000E5151" w:rsidRPr="000E66DA">
        <w:rPr>
          <w:rFonts w:ascii="Times New Roman" w:hAnsi="Times New Roman" w:cs="Times New Roman"/>
          <w:sz w:val="28"/>
          <w:szCs w:val="28"/>
          <w:lang w:val="uk-UA" w:eastAsia="uk-UA"/>
        </w:rPr>
        <w:t xml:space="preserve"> </w:t>
      </w:r>
      <w:r w:rsidR="00396C9E" w:rsidRPr="000E66DA">
        <w:rPr>
          <w:rFonts w:ascii="Times New Roman" w:hAnsi="Times New Roman" w:cs="Times New Roman"/>
          <w:sz w:val="28"/>
          <w:szCs w:val="28"/>
          <w:lang w:val="uk-UA" w:eastAsia="uk-UA"/>
        </w:rPr>
        <w:t xml:space="preserve">Також організатору азартних ігор надається можливість у разі виявлення помилок у звітності подати </w:t>
      </w:r>
      <w:proofErr w:type="spellStart"/>
      <w:r w:rsidR="00396C9E" w:rsidRPr="000E66DA">
        <w:rPr>
          <w:rFonts w:ascii="Times New Roman" w:hAnsi="Times New Roman" w:cs="Times New Roman"/>
          <w:sz w:val="28"/>
          <w:szCs w:val="28"/>
          <w:lang w:val="uk-UA" w:eastAsia="uk-UA"/>
        </w:rPr>
        <w:t>коригуючий</w:t>
      </w:r>
      <w:proofErr w:type="spellEnd"/>
      <w:r w:rsidR="00396C9E" w:rsidRPr="000E66DA">
        <w:rPr>
          <w:rFonts w:ascii="Times New Roman" w:hAnsi="Times New Roman" w:cs="Times New Roman"/>
          <w:sz w:val="28"/>
          <w:szCs w:val="28"/>
          <w:lang w:val="uk-UA" w:eastAsia="uk-UA"/>
        </w:rPr>
        <w:t xml:space="preserve"> звіт. </w:t>
      </w:r>
    </w:p>
    <w:p w:rsidR="008E78B6" w:rsidRPr="000E66DA" w:rsidRDefault="008E78B6" w:rsidP="008E78B6">
      <w:pPr>
        <w:spacing w:after="0" w:line="20" w:lineRule="atLeast"/>
        <w:ind w:firstLine="709"/>
        <w:contextualSpacing/>
        <w:jc w:val="both"/>
        <w:rPr>
          <w:rFonts w:ascii="Times New Roman" w:hAnsi="Times New Roman" w:cs="Times New Roman"/>
          <w:color w:val="000000"/>
          <w:sz w:val="28"/>
          <w:szCs w:val="28"/>
          <w:lang w:val="uk-UA" w:eastAsia="uk-UA"/>
        </w:rPr>
      </w:pPr>
      <w:r w:rsidRPr="000E66DA">
        <w:rPr>
          <w:rFonts w:ascii="Times New Roman" w:hAnsi="Times New Roman" w:cs="Times New Roman"/>
          <w:color w:val="000000"/>
          <w:sz w:val="28"/>
          <w:szCs w:val="28"/>
          <w:lang w:val="uk-UA" w:eastAsia="uk-UA"/>
        </w:rPr>
        <w:t xml:space="preserve">Запропонований механізм розв’язання проблеми обумовлений тим, що відповідно до вимог </w:t>
      </w:r>
      <w:hyperlink r:id="rId12" w:tgtFrame="_blank" w:history="1">
        <w:r w:rsidRPr="000E66DA">
          <w:rPr>
            <w:rStyle w:val="a7"/>
            <w:rFonts w:ascii="Times New Roman" w:eastAsia="Times New Roman" w:hAnsi="Times New Roman" w:cs="Times New Roman"/>
            <w:color w:val="000000"/>
            <w:sz w:val="28"/>
            <w:szCs w:val="28"/>
            <w:highlight w:val="white"/>
            <w:u w:val="none"/>
            <w:lang w:val="uk-UA"/>
          </w:rPr>
          <w:t>Закону України</w:t>
        </w:r>
      </w:hyperlink>
      <w:r w:rsidRPr="000E66DA">
        <w:rPr>
          <w:rFonts w:ascii="Times New Roman" w:eastAsia="Times New Roman" w:hAnsi="Times New Roman" w:cs="Times New Roman"/>
          <w:color w:val="000000"/>
          <w:sz w:val="28"/>
          <w:szCs w:val="28"/>
          <w:highlight w:val="white"/>
          <w:lang w:val="uk-UA"/>
        </w:rPr>
        <w:t xml:space="preserve"> </w:t>
      </w:r>
      <w:r w:rsidRPr="000E66DA">
        <w:rPr>
          <w:rFonts w:ascii="Times New Roman" w:eastAsia="Times New Roman" w:hAnsi="Times New Roman" w:cs="Times New Roman"/>
          <w:color w:val="000000"/>
          <w:sz w:val="28"/>
          <w:szCs w:val="28"/>
          <w:highlight w:val="white"/>
          <w:shd w:val="clear" w:color="auto" w:fill="FFFFFF"/>
          <w:lang w:val="uk-UA"/>
        </w:rPr>
        <w:t>«</w:t>
      </w:r>
      <w:r w:rsidRPr="000E66DA">
        <w:rPr>
          <w:rFonts w:ascii="Times New Roman" w:eastAsia="Times New Roman" w:hAnsi="Times New Roman" w:cs="Times New Roman"/>
          <w:color w:val="000000"/>
          <w:sz w:val="28"/>
          <w:szCs w:val="28"/>
          <w:highlight w:val="white"/>
          <w:lang w:val="uk-UA"/>
        </w:rPr>
        <w:t>Про державне регулювання діяльності щодо організації та проведення азартних ігор</w:t>
      </w:r>
      <w:r w:rsidRPr="000E66DA">
        <w:rPr>
          <w:rFonts w:ascii="Times New Roman" w:eastAsia="Times New Roman" w:hAnsi="Times New Roman" w:cs="Times New Roman"/>
          <w:color w:val="000000"/>
          <w:sz w:val="28"/>
          <w:szCs w:val="28"/>
          <w:highlight w:val="white"/>
          <w:shd w:val="clear" w:color="auto" w:fill="FFFFFF"/>
          <w:lang w:val="uk-UA"/>
        </w:rPr>
        <w:t>»</w:t>
      </w:r>
      <w:r w:rsidRPr="000E66DA">
        <w:rPr>
          <w:rFonts w:ascii="Times New Roman" w:eastAsia="Times New Roman" w:hAnsi="Times New Roman" w:cs="Times New Roman"/>
          <w:color w:val="000000"/>
          <w:sz w:val="28"/>
          <w:szCs w:val="28"/>
          <w:shd w:val="clear" w:color="auto" w:fill="FFFFFF"/>
          <w:lang w:val="uk-UA"/>
        </w:rPr>
        <w:t xml:space="preserve"> </w:t>
      </w:r>
      <w:r w:rsidRPr="000E66DA">
        <w:rPr>
          <w:rFonts w:ascii="Times New Roman" w:hAnsi="Times New Roman" w:cs="Times New Roman"/>
          <w:color w:val="000000"/>
          <w:sz w:val="28"/>
          <w:szCs w:val="28"/>
          <w:lang w:val="uk-UA" w:eastAsia="uk-UA"/>
        </w:rPr>
        <w:t xml:space="preserve">організатор азартних ігор зобов’язаний </w:t>
      </w:r>
      <w:r w:rsidR="008B0D84" w:rsidRPr="000E66DA">
        <w:rPr>
          <w:rFonts w:ascii="Times New Roman" w:hAnsi="Times New Roman" w:cs="Times New Roman"/>
          <w:color w:val="000000"/>
          <w:sz w:val="28"/>
          <w:szCs w:val="28"/>
          <w:lang w:val="uk-UA" w:eastAsia="uk-UA"/>
        </w:rPr>
        <w:t xml:space="preserve">подавати </w:t>
      </w:r>
      <w:r w:rsidRPr="000E66DA">
        <w:rPr>
          <w:rFonts w:ascii="Times New Roman" w:hAnsi="Times New Roman" w:cs="Times New Roman"/>
          <w:color w:val="000000"/>
          <w:sz w:val="28"/>
          <w:szCs w:val="28"/>
          <w:lang w:val="uk-UA" w:eastAsia="uk-UA"/>
        </w:rPr>
        <w:t xml:space="preserve">звітність до КРАІЛ. </w:t>
      </w:r>
    </w:p>
    <w:p w:rsidR="008E78B6" w:rsidRPr="000E66DA" w:rsidRDefault="008E78B6" w:rsidP="008E78B6">
      <w:pPr>
        <w:spacing w:after="0" w:line="20" w:lineRule="atLeast"/>
        <w:ind w:firstLine="709"/>
        <w:contextualSpacing/>
        <w:jc w:val="both"/>
        <w:rPr>
          <w:rFonts w:ascii="Times New Roman" w:hAnsi="Times New Roman" w:cs="Times New Roman"/>
          <w:color w:val="000000"/>
          <w:sz w:val="28"/>
          <w:szCs w:val="28"/>
          <w:lang w:val="uk-UA" w:eastAsia="uk-UA"/>
        </w:rPr>
      </w:pPr>
      <w:r w:rsidRPr="000E66DA">
        <w:rPr>
          <w:rFonts w:ascii="Times New Roman" w:hAnsi="Times New Roman" w:cs="Times New Roman"/>
          <w:color w:val="000000"/>
          <w:sz w:val="28"/>
          <w:szCs w:val="28"/>
          <w:lang w:val="uk-UA" w:eastAsia="uk-UA"/>
        </w:rPr>
        <w:lastRenderedPageBreak/>
        <w:t xml:space="preserve">Визначення переліку, форм та порядку подання звітності </w:t>
      </w:r>
      <w:r w:rsidR="00883B12" w:rsidRPr="000E66DA">
        <w:rPr>
          <w:rFonts w:ascii="Times New Roman" w:eastAsia="Times New Roman" w:hAnsi="Times New Roman" w:cs="Times New Roman"/>
          <w:color w:val="000000"/>
          <w:sz w:val="28"/>
          <w:szCs w:val="28"/>
          <w:highlight w:val="white"/>
          <w:lang w:val="uk-UA"/>
        </w:rPr>
        <w:t xml:space="preserve">є </w:t>
      </w:r>
      <w:r w:rsidR="00883B12" w:rsidRPr="000E66DA">
        <w:rPr>
          <w:rFonts w:ascii="Times New Roman" w:eastAsia="Times New Roman" w:hAnsi="Times New Roman" w:cs="Times New Roman"/>
          <w:color w:val="000000"/>
          <w:sz w:val="28"/>
          <w:szCs w:val="28"/>
          <w:lang w:val="uk-UA"/>
        </w:rPr>
        <w:t xml:space="preserve">основним та найбільш зручним інструментом </w:t>
      </w:r>
      <w:r w:rsidR="00883B12" w:rsidRPr="000E66DA">
        <w:rPr>
          <w:rFonts w:ascii="Times New Roman" w:hAnsi="Times New Roman" w:cs="Times New Roman"/>
          <w:color w:val="000000"/>
          <w:sz w:val="28"/>
          <w:szCs w:val="28"/>
          <w:lang w:val="uk-UA" w:eastAsia="uk-UA"/>
        </w:rPr>
        <w:t>для</w:t>
      </w:r>
      <w:r w:rsidR="001F6889" w:rsidRPr="000E66DA">
        <w:rPr>
          <w:rFonts w:ascii="Times New Roman" w:hAnsi="Times New Roman" w:cs="Times New Roman"/>
          <w:color w:val="000000"/>
          <w:sz w:val="28"/>
          <w:szCs w:val="28"/>
          <w:lang w:val="uk-UA" w:eastAsia="uk-UA"/>
        </w:rPr>
        <w:t xml:space="preserve"> отрима</w:t>
      </w:r>
      <w:r w:rsidR="00883B12" w:rsidRPr="000E66DA">
        <w:rPr>
          <w:rFonts w:ascii="Times New Roman" w:hAnsi="Times New Roman" w:cs="Times New Roman"/>
          <w:color w:val="000000"/>
          <w:sz w:val="28"/>
          <w:szCs w:val="28"/>
          <w:lang w:val="uk-UA" w:eastAsia="uk-UA"/>
        </w:rPr>
        <w:t xml:space="preserve">ння інформації про </w:t>
      </w:r>
      <w:r w:rsidR="001F6889" w:rsidRPr="000E66DA">
        <w:rPr>
          <w:rFonts w:ascii="Times New Roman" w:hAnsi="Times New Roman" w:cs="Times New Roman"/>
          <w:color w:val="000000"/>
          <w:sz w:val="28"/>
          <w:szCs w:val="28"/>
          <w:lang w:val="uk-UA" w:eastAsia="uk-UA"/>
        </w:rPr>
        <w:t xml:space="preserve"> </w:t>
      </w:r>
      <w:r w:rsidR="00883B12" w:rsidRPr="000E66DA">
        <w:rPr>
          <w:rFonts w:ascii="Times New Roman" w:hAnsi="Times New Roman" w:cs="Times New Roman"/>
          <w:color w:val="000000"/>
          <w:sz w:val="28"/>
          <w:szCs w:val="28"/>
          <w:lang w:val="uk-UA" w:eastAsia="uk-UA"/>
        </w:rPr>
        <w:t>діяльність організаторів азартних ігор.</w:t>
      </w:r>
    </w:p>
    <w:p w:rsidR="002B57DA" w:rsidRPr="000E66DA" w:rsidRDefault="007253E6" w:rsidP="007253E6">
      <w:pPr>
        <w:spacing w:after="0" w:line="20" w:lineRule="atLeast"/>
        <w:ind w:firstLine="709"/>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Дія регуляторного акта поширюватиметься на юридичних осіб</w:t>
      </w:r>
      <w:r w:rsidR="002B57DA" w:rsidRPr="000E66DA">
        <w:rPr>
          <w:rFonts w:ascii="Times New Roman" w:hAnsi="Times New Roman" w:cs="Times New Roman"/>
          <w:sz w:val="28"/>
          <w:szCs w:val="28"/>
          <w:lang w:val="uk-UA"/>
        </w:rPr>
        <w:t xml:space="preserve"> – організаторів азартних ігор.</w:t>
      </w:r>
    </w:p>
    <w:p w:rsidR="007253E6" w:rsidRPr="000E66DA" w:rsidRDefault="007253E6" w:rsidP="007253E6">
      <w:pPr>
        <w:spacing w:after="0" w:line="20" w:lineRule="atLeast"/>
        <w:ind w:firstLine="709"/>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Впливу зовнішніх факторів на дію регуляторного акта не очікується.</w:t>
      </w:r>
    </w:p>
    <w:p w:rsidR="007253E6" w:rsidRPr="000E66DA" w:rsidRDefault="007253E6" w:rsidP="007253E6">
      <w:pPr>
        <w:spacing w:after="0" w:line="20" w:lineRule="atLeast"/>
        <w:ind w:firstLine="709"/>
        <w:contextualSpacing/>
        <w:jc w:val="both"/>
        <w:rPr>
          <w:rFonts w:ascii="Times New Roman" w:hAnsi="Times New Roman" w:cs="Times New Roman"/>
          <w:sz w:val="28"/>
          <w:szCs w:val="28"/>
          <w:lang w:val="uk-UA" w:eastAsia="uk-UA"/>
        </w:rPr>
      </w:pPr>
    </w:p>
    <w:p w:rsidR="007253E6" w:rsidRPr="000E66DA" w:rsidRDefault="007253E6" w:rsidP="007253E6">
      <w:pPr>
        <w:shd w:val="clear" w:color="auto" w:fill="FFFFFF"/>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b/>
          <w:bCs/>
          <w:sz w:val="28"/>
          <w:szCs w:val="28"/>
          <w:lang w:val="uk-UA"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7253E6" w:rsidRPr="000E66DA" w:rsidRDefault="007253E6" w:rsidP="007253E6">
      <w:pPr>
        <w:shd w:val="clear" w:color="auto" w:fill="FFFFFF"/>
        <w:spacing w:after="0" w:line="20" w:lineRule="atLeast"/>
        <w:contextualSpacing/>
        <w:jc w:val="center"/>
        <w:rPr>
          <w:rFonts w:ascii="Times New Roman" w:hAnsi="Times New Roman" w:cs="Times New Roman"/>
          <w:b/>
          <w:bCs/>
          <w:sz w:val="12"/>
          <w:szCs w:val="12"/>
          <w:lang w:val="uk-UA" w:eastAsia="uk-UA"/>
        </w:rPr>
      </w:pPr>
    </w:p>
    <w:p w:rsidR="007253E6" w:rsidRPr="000E66DA" w:rsidRDefault="007253E6" w:rsidP="007253E6">
      <w:pPr>
        <w:pStyle w:val="rvps2"/>
        <w:shd w:val="clear" w:color="auto" w:fill="FFFFFF"/>
        <w:spacing w:before="0" w:after="0" w:line="20" w:lineRule="atLeast"/>
        <w:ind w:firstLine="708"/>
        <w:contextualSpacing/>
        <w:jc w:val="both"/>
        <w:rPr>
          <w:sz w:val="28"/>
          <w:szCs w:val="28"/>
        </w:rPr>
      </w:pPr>
      <w:r w:rsidRPr="000E66DA">
        <w:rPr>
          <w:sz w:val="28"/>
          <w:szCs w:val="28"/>
        </w:rPr>
        <w:t xml:space="preserve">Реалізація проєкту </w:t>
      </w:r>
      <w:r w:rsidR="00DB0237" w:rsidRPr="000E66DA">
        <w:rPr>
          <w:sz w:val="28"/>
          <w:szCs w:val="28"/>
        </w:rPr>
        <w:t>рішення</w:t>
      </w:r>
      <w:r w:rsidRPr="000E66DA">
        <w:rPr>
          <w:sz w:val="28"/>
          <w:szCs w:val="28"/>
        </w:rPr>
        <w:t xml:space="preserve"> не потребує фінансування з Державного бюджету  України. Досягнення цілей не передбачає додаткових витрат і ресурсів на </w:t>
      </w:r>
      <w:r w:rsidRPr="000E66DA">
        <w:rPr>
          <w:sz w:val="28"/>
          <w:szCs w:val="28"/>
        </w:rPr>
        <w:br/>
        <w:t xml:space="preserve">адміністрування регулювання органами виконавчої влади чи органами місцевого </w:t>
      </w:r>
      <w:r w:rsidRPr="000E66DA">
        <w:rPr>
          <w:sz w:val="28"/>
          <w:szCs w:val="28"/>
        </w:rPr>
        <w:br/>
        <w:t>самоврядування.</w:t>
      </w:r>
    </w:p>
    <w:p w:rsidR="007253E6" w:rsidRPr="000E66DA" w:rsidRDefault="007253E6" w:rsidP="007253E6">
      <w:pPr>
        <w:pStyle w:val="rvps2"/>
        <w:shd w:val="clear" w:color="auto" w:fill="FFFFFF"/>
        <w:spacing w:before="0" w:after="0" w:line="20" w:lineRule="atLeast"/>
        <w:ind w:firstLine="708"/>
        <w:contextualSpacing/>
        <w:jc w:val="both"/>
        <w:rPr>
          <w:sz w:val="28"/>
          <w:szCs w:val="28"/>
        </w:rPr>
      </w:pPr>
      <w:r w:rsidRPr="000E66DA">
        <w:rPr>
          <w:sz w:val="28"/>
          <w:szCs w:val="28"/>
        </w:rPr>
        <w:t>Витрати суб’єктів великого та середнього підприємництва, які виникають внаслідок дії регуляторного акта, розраховано згідно з додатком 2 до Методики проведення аналізу впливу регуляторного акта (додається).</w:t>
      </w:r>
    </w:p>
    <w:p w:rsidR="008340E0" w:rsidRPr="000E66DA" w:rsidRDefault="008340E0" w:rsidP="008340E0">
      <w:pPr>
        <w:pStyle w:val="rvps2"/>
        <w:shd w:val="clear" w:color="auto" w:fill="FFFFFF"/>
        <w:spacing w:before="0" w:after="0" w:line="20" w:lineRule="atLeast"/>
        <w:ind w:firstLine="708"/>
        <w:contextualSpacing/>
        <w:jc w:val="both"/>
        <w:rPr>
          <w:sz w:val="28"/>
          <w:szCs w:val="28"/>
        </w:rPr>
      </w:pPr>
      <w:r w:rsidRPr="000E66DA">
        <w:rPr>
          <w:sz w:val="28"/>
          <w:szCs w:val="28"/>
        </w:rPr>
        <w:t xml:space="preserve">Дія регуляторного акта не поширюється на суб’єктів малого підприємництва,  а, отже, </w:t>
      </w:r>
      <w:r w:rsidRPr="000E66DA">
        <w:rPr>
          <w:sz w:val="28"/>
          <w:szCs w:val="28"/>
          <w:shd w:val="clear" w:color="auto" w:fill="FFFFFF"/>
        </w:rPr>
        <w:t>розрахунок витрат на запровадження державного регулювання для суб’єктів малого проводився згідно з М-Тестом (додається) не проводився.</w:t>
      </w:r>
    </w:p>
    <w:p w:rsidR="007253E6" w:rsidRPr="000E66DA" w:rsidRDefault="007253E6" w:rsidP="007253E6">
      <w:pPr>
        <w:pStyle w:val="rvps2"/>
        <w:shd w:val="clear" w:color="auto" w:fill="FFFFFF"/>
        <w:spacing w:before="0" w:after="0" w:line="20" w:lineRule="atLeast"/>
        <w:ind w:firstLine="708"/>
        <w:contextualSpacing/>
        <w:jc w:val="both"/>
        <w:rPr>
          <w:sz w:val="28"/>
          <w:szCs w:val="28"/>
        </w:rPr>
      </w:pPr>
      <w:r w:rsidRPr="000E66DA">
        <w:rPr>
          <w:sz w:val="28"/>
          <w:szCs w:val="28"/>
        </w:rPr>
        <w:t xml:space="preserve">Норми, запроваджені проєктом </w:t>
      </w:r>
      <w:r w:rsidR="00DB0237" w:rsidRPr="000E66DA">
        <w:rPr>
          <w:sz w:val="28"/>
          <w:szCs w:val="28"/>
        </w:rPr>
        <w:t>рішення</w:t>
      </w:r>
      <w:r w:rsidRPr="000E66DA">
        <w:rPr>
          <w:sz w:val="28"/>
          <w:szCs w:val="28"/>
        </w:rPr>
        <w:t xml:space="preserve">, сприятимуть збільшенню доходів </w:t>
      </w:r>
      <w:r w:rsidRPr="000E66DA">
        <w:rPr>
          <w:sz w:val="28"/>
          <w:szCs w:val="28"/>
        </w:rPr>
        <w:br/>
        <w:t>Державного бюджету України.</w:t>
      </w:r>
      <w:bookmarkStart w:id="43" w:name="n229"/>
      <w:bookmarkStart w:id="44" w:name="n197"/>
      <w:bookmarkStart w:id="45" w:name="n196"/>
      <w:bookmarkStart w:id="46" w:name="n195"/>
      <w:bookmarkStart w:id="47" w:name="n194"/>
      <w:bookmarkStart w:id="48" w:name="n193"/>
      <w:bookmarkStart w:id="49" w:name="n192"/>
      <w:bookmarkStart w:id="50" w:name="n191"/>
      <w:bookmarkEnd w:id="43"/>
      <w:bookmarkEnd w:id="44"/>
      <w:bookmarkEnd w:id="45"/>
      <w:bookmarkEnd w:id="46"/>
      <w:bookmarkEnd w:id="47"/>
      <w:bookmarkEnd w:id="48"/>
      <w:bookmarkEnd w:id="49"/>
      <w:bookmarkEnd w:id="50"/>
    </w:p>
    <w:p w:rsidR="007253E6" w:rsidRPr="000E66DA" w:rsidRDefault="007253E6" w:rsidP="007253E6">
      <w:pPr>
        <w:shd w:val="clear" w:color="auto" w:fill="FFFFFF"/>
        <w:spacing w:after="0" w:line="20" w:lineRule="atLeast"/>
        <w:contextualSpacing/>
        <w:jc w:val="center"/>
        <w:rPr>
          <w:rFonts w:ascii="Times New Roman" w:hAnsi="Times New Roman" w:cs="Times New Roman"/>
          <w:b/>
          <w:bCs/>
          <w:sz w:val="28"/>
          <w:szCs w:val="28"/>
          <w:lang w:val="uk-UA" w:eastAsia="uk-UA"/>
        </w:rPr>
      </w:pPr>
    </w:p>
    <w:p w:rsidR="007253E6" w:rsidRPr="000E66DA" w:rsidRDefault="007253E6" w:rsidP="007253E6">
      <w:pPr>
        <w:shd w:val="clear" w:color="auto" w:fill="FFFFFF"/>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b/>
          <w:bCs/>
          <w:sz w:val="28"/>
          <w:szCs w:val="28"/>
          <w:lang w:val="uk-UA" w:eastAsia="uk-UA"/>
        </w:rPr>
        <w:t>VII. Обґрунтування запропонованого строку дії регуляторного акта</w:t>
      </w:r>
    </w:p>
    <w:p w:rsidR="007253E6" w:rsidRPr="000E66DA" w:rsidRDefault="007253E6" w:rsidP="007253E6">
      <w:pPr>
        <w:pStyle w:val="rvps2"/>
        <w:shd w:val="clear" w:color="auto" w:fill="FFFFFF"/>
        <w:spacing w:before="0" w:after="0" w:line="20" w:lineRule="atLeast"/>
        <w:ind w:firstLine="708"/>
        <w:contextualSpacing/>
        <w:jc w:val="both"/>
        <w:rPr>
          <w:bCs/>
          <w:sz w:val="12"/>
          <w:szCs w:val="12"/>
        </w:rPr>
      </w:pPr>
      <w:bookmarkStart w:id="51" w:name="n168"/>
      <w:bookmarkStart w:id="52" w:name="n167"/>
      <w:bookmarkEnd w:id="51"/>
      <w:bookmarkEnd w:id="52"/>
    </w:p>
    <w:p w:rsidR="007253E6" w:rsidRPr="000E66DA" w:rsidRDefault="007253E6" w:rsidP="007253E6">
      <w:pPr>
        <w:pStyle w:val="rvps2"/>
        <w:shd w:val="clear" w:color="auto" w:fill="FFFFFF"/>
        <w:spacing w:before="0" w:after="0" w:line="20" w:lineRule="atLeast"/>
        <w:ind w:firstLine="708"/>
        <w:contextualSpacing/>
        <w:jc w:val="both"/>
        <w:rPr>
          <w:bCs/>
          <w:sz w:val="28"/>
          <w:szCs w:val="28"/>
        </w:rPr>
      </w:pPr>
      <w:r w:rsidRPr="000E66DA">
        <w:rPr>
          <w:bCs/>
          <w:sz w:val="28"/>
          <w:szCs w:val="28"/>
        </w:rPr>
        <w:t>Термін дії нормативно-правового акта – необмежений у часі.</w:t>
      </w:r>
    </w:p>
    <w:p w:rsidR="007253E6" w:rsidRPr="000E66DA" w:rsidRDefault="007253E6" w:rsidP="007253E6">
      <w:pPr>
        <w:pStyle w:val="rvps2"/>
        <w:shd w:val="clear" w:color="auto" w:fill="FFFFFF"/>
        <w:spacing w:before="0" w:after="0" w:line="20" w:lineRule="atLeast"/>
        <w:ind w:firstLine="708"/>
        <w:contextualSpacing/>
        <w:jc w:val="both"/>
        <w:rPr>
          <w:bCs/>
          <w:sz w:val="28"/>
          <w:szCs w:val="28"/>
        </w:rPr>
      </w:pPr>
      <w:r w:rsidRPr="000E66DA">
        <w:rPr>
          <w:bCs/>
          <w:sz w:val="28"/>
          <w:szCs w:val="28"/>
        </w:rPr>
        <w:t>Термін набрання чинності регуляторним актом – відповідно до вимог законодавства після його офіційного оприлюднення.</w:t>
      </w:r>
    </w:p>
    <w:p w:rsidR="007253E6" w:rsidRPr="000E66DA" w:rsidRDefault="007253E6" w:rsidP="007253E6">
      <w:pPr>
        <w:pStyle w:val="rvps2"/>
        <w:shd w:val="clear" w:color="auto" w:fill="FFFFFF"/>
        <w:spacing w:before="0" w:after="0" w:line="20" w:lineRule="atLeast"/>
        <w:ind w:firstLine="708"/>
        <w:contextualSpacing/>
        <w:jc w:val="both"/>
        <w:rPr>
          <w:bCs/>
          <w:sz w:val="28"/>
          <w:szCs w:val="28"/>
        </w:rPr>
      </w:pPr>
    </w:p>
    <w:p w:rsidR="007253E6" w:rsidRPr="000E66DA" w:rsidRDefault="007253E6" w:rsidP="007253E6">
      <w:pPr>
        <w:shd w:val="clear" w:color="auto" w:fill="FFFFFF"/>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b/>
          <w:bCs/>
          <w:sz w:val="28"/>
          <w:szCs w:val="28"/>
          <w:lang w:val="uk-UA" w:eastAsia="uk-UA"/>
        </w:rPr>
        <w:t>VIII. Визначення показників результативності дії регуляторного акта</w:t>
      </w:r>
    </w:p>
    <w:p w:rsidR="007253E6" w:rsidRPr="000E66DA" w:rsidRDefault="007253E6" w:rsidP="007253E6">
      <w:pPr>
        <w:spacing w:after="0" w:line="20" w:lineRule="atLeast"/>
        <w:contextualSpacing/>
        <w:jc w:val="both"/>
        <w:rPr>
          <w:rFonts w:ascii="Times New Roman" w:hAnsi="Times New Roman" w:cs="Times New Roman"/>
          <w:sz w:val="12"/>
          <w:szCs w:val="12"/>
          <w:lang w:val="uk-UA"/>
        </w:rPr>
      </w:pPr>
    </w:p>
    <w:p w:rsidR="007253E6" w:rsidRPr="00600A3B" w:rsidRDefault="007253E6" w:rsidP="007253E6">
      <w:pPr>
        <w:spacing w:after="0" w:line="20" w:lineRule="atLeast"/>
        <w:ind w:firstLine="720"/>
        <w:contextualSpacing/>
        <w:jc w:val="both"/>
        <w:rPr>
          <w:rFonts w:ascii="Times New Roman" w:hAnsi="Times New Roman" w:cs="Times New Roman"/>
          <w:sz w:val="28"/>
          <w:szCs w:val="28"/>
          <w:lang w:val="uk-UA"/>
        </w:rPr>
      </w:pPr>
      <w:r w:rsidRPr="00600A3B">
        <w:rPr>
          <w:rFonts w:ascii="Times New Roman" w:hAnsi="Times New Roman" w:cs="Times New Roman"/>
          <w:sz w:val="28"/>
          <w:szCs w:val="28"/>
          <w:lang w:val="uk-UA"/>
        </w:rPr>
        <w:t>Показниками результативності регуляторного акта є:</w:t>
      </w:r>
    </w:p>
    <w:p w:rsidR="008340E0" w:rsidRPr="00600A3B" w:rsidRDefault="007253E6" w:rsidP="007253E6">
      <w:pPr>
        <w:pStyle w:val="rvps2"/>
        <w:numPr>
          <w:ilvl w:val="0"/>
          <w:numId w:val="7"/>
        </w:numPr>
        <w:shd w:val="clear" w:color="auto" w:fill="FFFFFF"/>
        <w:spacing w:before="0" w:after="0" w:line="20" w:lineRule="atLeast"/>
        <w:contextualSpacing/>
        <w:jc w:val="both"/>
        <w:rPr>
          <w:sz w:val="28"/>
          <w:szCs w:val="28"/>
        </w:rPr>
      </w:pPr>
      <w:r w:rsidRPr="00600A3B">
        <w:rPr>
          <w:sz w:val="28"/>
          <w:szCs w:val="28"/>
        </w:rPr>
        <w:t xml:space="preserve">розмір надходжень до державного та місцевих бюджетів і державних цільових фондів, пов’язаних з дією акта – </w:t>
      </w:r>
      <w:r w:rsidR="00FD35E4" w:rsidRPr="00600A3B">
        <w:rPr>
          <w:sz w:val="28"/>
          <w:szCs w:val="28"/>
        </w:rPr>
        <w:t>не впливає на зміну показників надходжень</w:t>
      </w:r>
      <w:r w:rsidR="008340E0" w:rsidRPr="00600A3B">
        <w:rPr>
          <w:sz w:val="28"/>
          <w:szCs w:val="28"/>
        </w:rPr>
        <w:t>;</w:t>
      </w:r>
    </w:p>
    <w:p w:rsidR="007253E6" w:rsidRPr="00600A3B" w:rsidRDefault="007253E6" w:rsidP="007253E6">
      <w:pPr>
        <w:pStyle w:val="rvps2"/>
        <w:numPr>
          <w:ilvl w:val="0"/>
          <w:numId w:val="7"/>
        </w:numPr>
        <w:shd w:val="clear" w:color="auto" w:fill="FFFFFF"/>
        <w:spacing w:before="0" w:after="0" w:line="20" w:lineRule="atLeast"/>
        <w:contextualSpacing/>
        <w:jc w:val="both"/>
        <w:rPr>
          <w:sz w:val="28"/>
          <w:szCs w:val="28"/>
        </w:rPr>
      </w:pPr>
      <w:r w:rsidRPr="00600A3B">
        <w:rPr>
          <w:sz w:val="28"/>
          <w:szCs w:val="28"/>
        </w:rPr>
        <w:t>за порушення законодавства у сфері азартних ігор спрогнозувати розмір надходжень до бюджету не вбачається можливим;</w:t>
      </w:r>
    </w:p>
    <w:p w:rsidR="007253E6" w:rsidRPr="00600A3B" w:rsidRDefault="007253E6" w:rsidP="007253E6">
      <w:pPr>
        <w:pStyle w:val="rvps2"/>
        <w:numPr>
          <w:ilvl w:val="0"/>
          <w:numId w:val="7"/>
        </w:numPr>
        <w:shd w:val="clear" w:color="auto" w:fill="FFFFFF"/>
        <w:spacing w:before="0" w:after="0" w:line="20" w:lineRule="atLeast"/>
        <w:contextualSpacing/>
        <w:jc w:val="both"/>
        <w:rPr>
          <w:sz w:val="28"/>
          <w:szCs w:val="28"/>
        </w:rPr>
      </w:pPr>
      <w:bookmarkStart w:id="53" w:name="n36"/>
      <w:bookmarkEnd w:id="53"/>
      <w:r w:rsidRPr="00600A3B">
        <w:rPr>
          <w:sz w:val="28"/>
          <w:szCs w:val="28"/>
        </w:rPr>
        <w:lastRenderedPageBreak/>
        <w:t xml:space="preserve">кількість суб’єктів господарювання, на яких поширюватиметься дія акта – </w:t>
      </w:r>
      <w:r w:rsidR="00B45F81">
        <w:rPr>
          <w:sz w:val="28"/>
          <w:szCs w:val="28"/>
        </w:rPr>
        <w:t>44</w:t>
      </w:r>
      <w:r w:rsidRPr="00600A3B">
        <w:rPr>
          <w:sz w:val="28"/>
          <w:szCs w:val="28"/>
        </w:rPr>
        <w:t xml:space="preserve"> суб’єкт</w:t>
      </w:r>
      <w:r w:rsidR="00B45F81">
        <w:rPr>
          <w:sz w:val="28"/>
          <w:szCs w:val="28"/>
        </w:rPr>
        <w:t>а</w:t>
      </w:r>
      <w:r w:rsidRPr="00600A3B">
        <w:rPr>
          <w:sz w:val="28"/>
          <w:szCs w:val="28"/>
        </w:rPr>
        <w:t xml:space="preserve"> господарювання;</w:t>
      </w:r>
    </w:p>
    <w:p w:rsidR="007253E6" w:rsidRPr="00600A3B" w:rsidRDefault="007253E6" w:rsidP="007253E6">
      <w:pPr>
        <w:pStyle w:val="rvps2"/>
        <w:numPr>
          <w:ilvl w:val="0"/>
          <w:numId w:val="7"/>
        </w:numPr>
        <w:shd w:val="clear" w:color="auto" w:fill="FFFFFF"/>
        <w:spacing w:before="0" w:after="0" w:line="20" w:lineRule="atLeast"/>
        <w:contextualSpacing/>
        <w:jc w:val="both"/>
        <w:rPr>
          <w:sz w:val="28"/>
          <w:szCs w:val="28"/>
        </w:rPr>
      </w:pPr>
      <w:bookmarkStart w:id="54" w:name="n37"/>
      <w:bookmarkEnd w:id="54"/>
      <w:r w:rsidRPr="00600A3B">
        <w:rPr>
          <w:sz w:val="28"/>
          <w:szCs w:val="28"/>
        </w:rPr>
        <w:t xml:space="preserve">розмір коштів і час, що витрачатимуться суб’єктами господарювання, пов’язаними з виконанням вимог акта – </w:t>
      </w:r>
      <w:r w:rsidR="00B45F81">
        <w:rPr>
          <w:sz w:val="28"/>
          <w:szCs w:val="28"/>
          <w:lang w:eastAsia="ru-RU"/>
        </w:rPr>
        <w:t xml:space="preserve">114780,16 </w:t>
      </w:r>
      <w:r w:rsidRPr="00600A3B">
        <w:rPr>
          <w:sz w:val="28"/>
          <w:szCs w:val="28"/>
        </w:rPr>
        <w:t>грн. на рік (</w:t>
      </w:r>
      <w:r w:rsidR="00600A3B" w:rsidRPr="00600A3B">
        <w:rPr>
          <w:sz w:val="28"/>
          <w:szCs w:val="28"/>
        </w:rPr>
        <w:t>16</w:t>
      </w:r>
      <w:r w:rsidRPr="00600A3B">
        <w:rPr>
          <w:sz w:val="28"/>
          <w:szCs w:val="28"/>
        </w:rPr>
        <w:t xml:space="preserve"> годин часових витрат);</w:t>
      </w:r>
    </w:p>
    <w:p w:rsidR="007253E6" w:rsidRPr="00600A3B" w:rsidRDefault="007253E6" w:rsidP="007253E6">
      <w:pPr>
        <w:pStyle w:val="rvps2"/>
        <w:numPr>
          <w:ilvl w:val="0"/>
          <w:numId w:val="7"/>
        </w:numPr>
        <w:shd w:val="clear" w:color="auto" w:fill="FFFFFF"/>
        <w:spacing w:before="0" w:after="0" w:line="20" w:lineRule="atLeast"/>
        <w:contextualSpacing/>
        <w:jc w:val="both"/>
        <w:rPr>
          <w:sz w:val="28"/>
          <w:szCs w:val="28"/>
        </w:rPr>
      </w:pPr>
      <w:bookmarkStart w:id="55" w:name="n38"/>
      <w:bookmarkEnd w:id="55"/>
      <w:r w:rsidRPr="00600A3B">
        <w:rPr>
          <w:sz w:val="28"/>
          <w:szCs w:val="28"/>
        </w:rPr>
        <w:t>рівень поінформованості суб’єктів господарювання з основних положень акта – високий;</w:t>
      </w:r>
    </w:p>
    <w:p w:rsidR="007253E6" w:rsidRPr="000E66DA" w:rsidRDefault="007253E6" w:rsidP="007253E6">
      <w:pPr>
        <w:spacing w:after="0" w:line="240" w:lineRule="auto"/>
        <w:ind w:firstLine="709"/>
        <w:jc w:val="both"/>
        <w:rPr>
          <w:rFonts w:ascii="Times New Roman" w:eastAsia="Times New Roman" w:hAnsi="Times New Roman" w:cs="Times New Roman"/>
          <w:sz w:val="28"/>
          <w:szCs w:val="28"/>
          <w:lang w:val="uk-UA" w:eastAsia="uk-UA"/>
        </w:rPr>
      </w:pPr>
      <w:r w:rsidRPr="000E66DA">
        <w:rPr>
          <w:rFonts w:ascii="Times New Roman" w:eastAsia="Times New Roman" w:hAnsi="Times New Roman" w:cs="Times New Roman"/>
          <w:sz w:val="28"/>
          <w:szCs w:val="28"/>
          <w:lang w:val="uk-UA" w:eastAsia="uk-UA"/>
        </w:rPr>
        <w:t>З метою забезпечення високого рівня поінформованості суб’єктів господарювання щодо основних положень цього акта Комісії з регулювання азартних ігор та лотерей забезпечено оприлюднення його у встановленому законодавством порядку на офіційному вебсайті КРАІЛ</w:t>
      </w:r>
      <w:r w:rsidRPr="000E66DA">
        <w:rPr>
          <w:rFonts w:ascii="Times New Roman" w:hAnsi="Times New Roman" w:cs="Times New Roman"/>
          <w:sz w:val="28"/>
          <w:szCs w:val="28"/>
          <w:lang w:val="uk-UA"/>
        </w:rPr>
        <w:t xml:space="preserve"> (</w:t>
      </w:r>
      <w:hyperlink r:id="rId13" w:history="1">
        <w:r w:rsidRPr="000E66DA">
          <w:rPr>
            <w:rStyle w:val="a7"/>
            <w:rFonts w:ascii="Times New Roman" w:hAnsi="Times New Roman" w:cs="Times New Roman"/>
            <w:sz w:val="28"/>
            <w:szCs w:val="28"/>
            <w:lang w:val="uk-UA"/>
          </w:rPr>
          <w:t>https://gc.gov.ua/</w:t>
        </w:r>
      </w:hyperlink>
      <w:r w:rsidRPr="000E66DA">
        <w:rPr>
          <w:rFonts w:ascii="Times New Roman" w:hAnsi="Times New Roman" w:cs="Times New Roman"/>
          <w:sz w:val="28"/>
          <w:szCs w:val="28"/>
          <w:lang w:val="uk-UA"/>
        </w:rPr>
        <w:t>) у розділі «</w:t>
      </w:r>
      <w:hyperlink r:id="rId14" w:history="1">
        <w:r w:rsidRPr="000E66DA">
          <w:rPr>
            <w:rFonts w:ascii="Times New Roman" w:hAnsi="Times New Roman" w:cs="Times New Roman"/>
            <w:sz w:val="28"/>
            <w:szCs w:val="28"/>
            <w:lang w:val="uk-UA" w:eastAsia="uk-UA"/>
          </w:rPr>
          <w:t>Регуляторна діяльність та консультації з громадськістю</w:t>
        </w:r>
      </w:hyperlink>
      <w:r w:rsidRPr="000E66DA">
        <w:rPr>
          <w:rFonts w:ascii="Times New Roman" w:hAnsi="Times New Roman" w:cs="Times New Roman"/>
          <w:sz w:val="28"/>
          <w:szCs w:val="28"/>
          <w:lang w:val="uk-UA" w:eastAsia="uk-UA"/>
        </w:rPr>
        <w:t>»</w:t>
      </w:r>
      <w:r w:rsidRPr="000E66DA">
        <w:rPr>
          <w:rFonts w:ascii="Times New Roman" w:eastAsia="Times New Roman" w:hAnsi="Times New Roman" w:cs="Times New Roman"/>
          <w:sz w:val="28"/>
          <w:szCs w:val="28"/>
          <w:lang w:val="uk-UA" w:eastAsia="uk-UA"/>
        </w:rPr>
        <w:t>, а також проведено обговорення проекту з представниками</w:t>
      </w:r>
      <w:r w:rsidRPr="000E66DA">
        <w:rPr>
          <w:rFonts w:ascii="Times New Roman" w:hAnsi="Times New Roman" w:cs="Times New Roman"/>
          <w:lang w:val="uk-UA"/>
        </w:rPr>
        <w:t xml:space="preserve"> </w:t>
      </w:r>
      <w:r w:rsidRPr="000E66DA">
        <w:rPr>
          <w:rFonts w:ascii="Times New Roman" w:eastAsia="Times New Roman" w:hAnsi="Times New Roman" w:cs="Times New Roman"/>
          <w:sz w:val="28"/>
          <w:szCs w:val="28"/>
          <w:lang w:val="uk-UA" w:eastAsia="uk-UA"/>
        </w:rPr>
        <w:t>Консультаційно-експертної ради КРАІЛ, до складу якої входять представники провідних громадських об’єднань у сфері грального бізнесу.</w:t>
      </w:r>
    </w:p>
    <w:p w:rsidR="007253E6" w:rsidRPr="000E66DA" w:rsidRDefault="007253E6" w:rsidP="007253E6">
      <w:pPr>
        <w:spacing w:after="0" w:line="240" w:lineRule="auto"/>
        <w:ind w:firstLine="709"/>
        <w:jc w:val="both"/>
        <w:rPr>
          <w:rFonts w:ascii="Times New Roman" w:eastAsia="Times New Roman" w:hAnsi="Times New Roman" w:cs="Times New Roman"/>
          <w:sz w:val="28"/>
          <w:szCs w:val="28"/>
          <w:lang w:val="uk-UA" w:eastAsia="uk-UA"/>
        </w:rPr>
      </w:pPr>
      <w:r w:rsidRPr="00600A3B">
        <w:rPr>
          <w:rFonts w:ascii="Times New Roman" w:eastAsia="Times New Roman" w:hAnsi="Times New Roman" w:cs="Times New Roman"/>
          <w:sz w:val="28"/>
          <w:szCs w:val="28"/>
          <w:lang w:val="uk-UA" w:eastAsia="uk-UA"/>
        </w:rPr>
        <w:t>Додатковими показниками результативності регуляторного акта є:</w:t>
      </w:r>
    </w:p>
    <w:p w:rsidR="00FD35E4" w:rsidRPr="000E66DA" w:rsidRDefault="00FD35E4" w:rsidP="00FD35E4">
      <w:pPr>
        <w:pStyle w:val="a8"/>
        <w:numPr>
          <w:ilvl w:val="0"/>
          <w:numId w:val="11"/>
        </w:numPr>
        <w:spacing w:after="0" w:line="240" w:lineRule="auto"/>
        <w:ind w:left="0" w:firstLine="426"/>
        <w:jc w:val="both"/>
        <w:rPr>
          <w:rFonts w:ascii="Times New Roman" w:eastAsia="Times New Roman" w:hAnsi="Times New Roman" w:cs="Times New Roman"/>
          <w:sz w:val="28"/>
          <w:szCs w:val="28"/>
          <w:lang w:val="uk-UA" w:eastAsia="uk-UA"/>
        </w:rPr>
      </w:pPr>
      <w:r w:rsidRPr="000E66DA">
        <w:rPr>
          <w:rFonts w:ascii="Times New Roman" w:eastAsia="Times New Roman" w:hAnsi="Times New Roman" w:cs="Times New Roman"/>
          <w:sz w:val="28"/>
          <w:szCs w:val="28"/>
          <w:lang w:val="uk-UA" w:eastAsia="uk-UA"/>
        </w:rPr>
        <w:t>кількість суб’єктів господарювання – організаторів азартних ігор, що подали звітність до КРАІЛ.</w:t>
      </w:r>
    </w:p>
    <w:p w:rsidR="00600A3B" w:rsidRDefault="00600A3B" w:rsidP="007253E6">
      <w:pPr>
        <w:shd w:val="clear" w:color="auto" w:fill="FFFFFF"/>
        <w:spacing w:after="0" w:line="20" w:lineRule="atLeast"/>
        <w:contextualSpacing/>
        <w:jc w:val="center"/>
        <w:rPr>
          <w:rFonts w:ascii="Times New Roman" w:hAnsi="Times New Roman" w:cs="Times New Roman"/>
          <w:b/>
          <w:bCs/>
          <w:sz w:val="28"/>
          <w:szCs w:val="28"/>
          <w:lang w:val="uk-UA" w:eastAsia="uk-UA"/>
        </w:rPr>
      </w:pPr>
    </w:p>
    <w:p w:rsidR="007253E6" w:rsidRPr="000E66DA" w:rsidRDefault="007253E6" w:rsidP="007253E6">
      <w:pPr>
        <w:shd w:val="clear" w:color="auto" w:fill="FFFFFF"/>
        <w:spacing w:after="0" w:line="20" w:lineRule="atLeast"/>
        <w:contextualSpacing/>
        <w:jc w:val="center"/>
        <w:rPr>
          <w:rFonts w:ascii="Times New Roman" w:hAnsi="Times New Roman" w:cs="Times New Roman"/>
          <w:sz w:val="28"/>
          <w:szCs w:val="28"/>
          <w:lang w:val="uk-UA"/>
        </w:rPr>
      </w:pPr>
      <w:r w:rsidRPr="000E66DA">
        <w:rPr>
          <w:rFonts w:ascii="Times New Roman" w:hAnsi="Times New Roman" w:cs="Times New Roman"/>
          <w:b/>
          <w:bCs/>
          <w:sz w:val="28"/>
          <w:szCs w:val="28"/>
          <w:lang w:val="uk-UA" w:eastAsia="uk-UA"/>
        </w:rPr>
        <w:t>IX. Визначення заходів, за допомогою яких здійснюватиметься відстеження результативності дії регуляторного акта</w:t>
      </w:r>
    </w:p>
    <w:p w:rsidR="007253E6" w:rsidRPr="0018789A" w:rsidRDefault="007253E6" w:rsidP="007253E6">
      <w:pPr>
        <w:pStyle w:val="31"/>
        <w:shd w:val="clear" w:color="auto" w:fill="FFFFFF"/>
        <w:spacing w:before="0" w:after="0" w:line="20" w:lineRule="atLeast"/>
        <w:contextualSpacing/>
        <w:jc w:val="both"/>
        <w:rPr>
          <w:rFonts w:ascii="Times New Roman" w:hAnsi="Times New Roman" w:cs="Times New Roman"/>
          <w:color w:val="auto"/>
          <w:sz w:val="28"/>
          <w:szCs w:val="28"/>
          <w:lang w:val="uk-UA"/>
        </w:rPr>
      </w:pPr>
      <w:bookmarkStart w:id="56" w:name="n171"/>
      <w:bookmarkEnd w:id="56"/>
    </w:p>
    <w:p w:rsidR="007253E6" w:rsidRPr="000E66DA" w:rsidRDefault="007253E6" w:rsidP="0018789A">
      <w:pPr>
        <w:pStyle w:val="rvps2"/>
        <w:shd w:val="clear" w:color="auto" w:fill="FFFFFF"/>
        <w:spacing w:before="0" w:after="0" w:line="20" w:lineRule="atLeast"/>
        <w:ind w:firstLine="709"/>
        <w:contextualSpacing/>
        <w:jc w:val="both"/>
        <w:rPr>
          <w:sz w:val="28"/>
          <w:szCs w:val="28"/>
        </w:rPr>
      </w:pPr>
      <w:r w:rsidRPr="000E66DA">
        <w:rPr>
          <w:sz w:val="28"/>
          <w:szCs w:val="28"/>
        </w:rPr>
        <w:t xml:space="preserve">Відстеження результативності регуляторного акта здійснюватиметься шляхом аналізу статистичної інформації щодо </w:t>
      </w:r>
      <w:r w:rsidR="00FD35E4" w:rsidRPr="000E66DA">
        <w:rPr>
          <w:sz w:val="28"/>
          <w:szCs w:val="28"/>
        </w:rPr>
        <w:t xml:space="preserve">подання звітності організаторів азартних ігор до </w:t>
      </w:r>
      <w:r w:rsidRPr="000E66DA">
        <w:rPr>
          <w:sz w:val="28"/>
          <w:szCs w:val="28"/>
        </w:rPr>
        <w:t>КРАІЛ</w:t>
      </w:r>
      <w:r w:rsidR="00FD35E4" w:rsidRPr="000E66DA">
        <w:rPr>
          <w:sz w:val="28"/>
          <w:szCs w:val="28"/>
        </w:rPr>
        <w:t>.</w:t>
      </w:r>
      <w:r w:rsidRPr="000E66DA">
        <w:rPr>
          <w:sz w:val="28"/>
          <w:szCs w:val="28"/>
        </w:rPr>
        <w:t xml:space="preserve"> </w:t>
      </w:r>
    </w:p>
    <w:p w:rsidR="007253E6" w:rsidRPr="000E66DA" w:rsidRDefault="007253E6" w:rsidP="007253E6">
      <w:pPr>
        <w:shd w:val="clear" w:color="auto" w:fill="FFFFFF"/>
        <w:spacing w:after="0" w:line="20" w:lineRule="atLeast"/>
        <w:ind w:firstLine="708"/>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Базове відстеження результативності здійснюватиметься через рік після набрання чинності цим регуляторним актом.</w:t>
      </w:r>
    </w:p>
    <w:p w:rsidR="007253E6" w:rsidRPr="000E66DA" w:rsidRDefault="007253E6" w:rsidP="007253E6">
      <w:pPr>
        <w:shd w:val="clear" w:color="auto" w:fill="FFFFFF"/>
        <w:spacing w:after="0" w:line="20" w:lineRule="atLeast"/>
        <w:ind w:firstLine="720"/>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Повторне відстеження результативності регуляторного акта здійснюватиметься через два роки від дня набрання ним чинності.</w:t>
      </w:r>
    </w:p>
    <w:p w:rsidR="007253E6" w:rsidRPr="000E66DA" w:rsidRDefault="007253E6" w:rsidP="007253E6">
      <w:pPr>
        <w:shd w:val="clear" w:color="auto" w:fill="FFFFFF"/>
        <w:spacing w:after="0" w:line="20" w:lineRule="atLeast"/>
        <w:ind w:firstLine="720"/>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Періодичне відстеження результативності регуляторного акта здійснюватиметься через кожні три роки, починаючи з дня виконання заходів із повторного відстеження.</w:t>
      </w:r>
    </w:p>
    <w:p w:rsidR="007253E6" w:rsidRPr="000E66DA" w:rsidRDefault="007253E6" w:rsidP="007253E6">
      <w:pPr>
        <w:shd w:val="clear" w:color="auto" w:fill="FFFFFF"/>
        <w:spacing w:after="0" w:line="20" w:lineRule="atLeast"/>
        <w:ind w:firstLine="720"/>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Метод проведення відстеження результативності – статистичний.</w:t>
      </w:r>
    </w:p>
    <w:p w:rsidR="007253E6" w:rsidRPr="000E66DA" w:rsidRDefault="007253E6" w:rsidP="007253E6">
      <w:pPr>
        <w:shd w:val="clear" w:color="auto" w:fill="FFFFFF"/>
        <w:spacing w:after="0" w:line="20" w:lineRule="atLeast"/>
        <w:ind w:firstLine="720"/>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Виконавець заходів з відстеження результативності – КРАІЛ.</w:t>
      </w:r>
    </w:p>
    <w:p w:rsidR="007253E6" w:rsidRPr="000E66DA" w:rsidRDefault="007253E6" w:rsidP="007253E6">
      <w:pPr>
        <w:shd w:val="clear" w:color="auto" w:fill="FFFFFF"/>
        <w:spacing w:after="0" w:line="20" w:lineRule="atLeast"/>
        <w:ind w:firstLine="720"/>
        <w:contextualSpacing/>
        <w:jc w:val="both"/>
        <w:rPr>
          <w:rFonts w:ascii="Times New Roman" w:hAnsi="Times New Roman" w:cs="Times New Roman"/>
          <w:sz w:val="28"/>
          <w:szCs w:val="28"/>
          <w:lang w:val="uk-UA"/>
        </w:rPr>
      </w:pPr>
      <w:r w:rsidRPr="000E66DA">
        <w:rPr>
          <w:rFonts w:ascii="Times New Roman" w:hAnsi="Times New Roman" w:cs="Times New Roman"/>
          <w:sz w:val="28"/>
          <w:szCs w:val="28"/>
          <w:lang w:val="uk-UA"/>
        </w:rPr>
        <w:t>У разі виявлення під час здійснення заходів з відстеження результативності неврегульованих та проблемних питань, вони будуть вирішуватися шляхом внесення відповідних змін до регуляторного акта.</w:t>
      </w:r>
    </w:p>
    <w:p w:rsidR="007253E6" w:rsidRPr="000E66DA" w:rsidRDefault="007253E6" w:rsidP="007253E6">
      <w:pPr>
        <w:spacing w:after="0" w:line="20" w:lineRule="atLeast"/>
        <w:contextualSpacing/>
        <w:jc w:val="center"/>
        <w:rPr>
          <w:rFonts w:ascii="Times New Roman" w:hAnsi="Times New Roman" w:cs="Times New Roman"/>
          <w:sz w:val="28"/>
          <w:szCs w:val="28"/>
          <w:lang w:val="uk-UA" w:eastAsia="uk-UA"/>
        </w:rPr>
      </w:pPr>
    </w:p>
    <w:p w:rsidR="007253E6" w:rsidRPr="000E66DA" w:rsidRDefault="007253E6" w:rsidP="007253E6">
      <w:pPr>
        <w:spacing w:after="0" w:line="20" w:lineRule="atLeast"/>
        <w:contextualSpacing/>
        <w:rPr>
          <w:rFonts w:ascii="Times New Roman" w:hAnsi="Times New Roman" w:cs="Times New Roman"/>
          <w:sz w:val="28"/>
          <w:szCs w:val="28"/>
          <w:lang w:val="uk-UA"/>
        </w:rPr>
      </w:pPr>
    </w:p>
    <w:p w:rsidR="007253E6" w:rsidRPr="000E66DA" w:rsidRDefault="007253E6" w:rsidP="007253E6">
      <w:pPr>
        <w:spacing w:after="0" w:line="20" w:lineRule="atLeast"/>
        <w:contextualSpacing/>
        <w:jc w:val="both"/>
        <w:rPr>
          <w:rFonts w:ascii="Times New Roman" w:hAnsi="Times New Roman" w:cs="Times New Roman"/>
          <w:sz w:val="28"/>
          <w:szCs w:val="28"/>
          <w:lang w:val="uk-UA"/>
        </w:rPr>
      </w:pPr>
      <w:r w:rsidRPr="000E66DA">
        <w:rPr>
          <w:rFonts w:ascii="Times New Roman" w:hAnsi="Times New Roman" w:cs="Times New Roman"/>
          <w:b/>
          <w:bCs/>
          <w:sz w:val="28"/>
          <w:szCs w:val="28"/>
          <w:lang w:val="uk-UA"/>
        </w:rPr>
        <w:t xml:space="preserve">Голова Комісії з </w:t>
      </w:r>
    </w:p>
    <w:p w:rsidR="000B4534" w:rsidRDefault="007253E6" w:rsidP="00FD35E4">
      <w:pPr>
        <w:spacing w:after="0" w:line="20" w:lineRule="atLeast"/>
        <w:contextualSpacing/>
        <w:jc w:val="both"/>
        <w:rPr>
          <w:rFonts w:ascii="Times New Roman" w:hAnsi="Times New Roman" w:cs="Times New Roman"/>
          <w:b/>
          <w:bCs/>
          <w:sz w:val="28"/>
          <w:szCs w:val="28"/>
          <w:lang w:val="uk-UA"/>
        </w:rPr>
      </w:pPr>
      <w:r w:rsidRPr="000E66DA">
        <w:rPr>
          <w:rFonts w:ascii="Times New Roman" w:hAnsi="Times New Roman" w:cs="Times New Roman"/>
          <w:b/>
          <w:bCs/>
          <w:sz w:val="28"/>
          <w:szCs w:val="28"/>
          <w:lang w:val="uk-UA"/>
        </w:rPr>
        <w:t>регулювання азартних ігор та</w:t>
      </w:r>
      <w:r w:rsidR="0018789A">
        <w:rPr>
          <w:rFonts w:ascii="Times New Roman" w:hAnsi="Times New Roman" w:cs="Times New Roman"/>
          <w:b/>
          <w:bCs/>
          <w:sz w:val="28"/>
          <w:szCs w:val="28"/>
          <w:lang w:val="uk-UA"/>
        </w:rPr>
        <w:t xml:space="preserve"> лотерей      </w:t>
      </w:r>
      <w:r w:rsidR="0018789A">
        <w:rPr>
          <w:rFonts w:ascii="Times New Roman" w:hAnsi="Times New Roman" w:cs="Times New Roman"/>
          <w:b/>
          <w:bCs/>
          <w:sz w:val="28"/>
          <w:szCs w:val="28"/>
          <w:lang w:val="uk-UA"/>
        </w:rPr>
        <w:tab/>
      </w:r>
      <w:r w:rsidR="0018789A">
        <w:rPr>
          <w:rFonts w:ascii="Times New Roman" w:hAnsi="Times New Roman" w:cs="Times New Roman"/>
          <w:b/>
          <w:bCs/>
          <w:sz w:val="28"/>
          <w:szCs w:val="28"/>
          <w:lang w:val="uk-UA"/>
        </w:rPr>
        <w:tab/>
      </w:r>
      <w:r w:rsidR="0018789A">
        <w:rPr>
          <w:rFonts w:ascii="Times New Roman" w:hAnsi="Times New Roman" w:cs="Times New Roman"/>
          <w:b/>
          <w:bCs/>
          <w:sz w:val="28"/>
          <w:szCs w:val="28"/>
          <w:lang w:val="uk-UA"/>
        </w:rPr>
        <w:tab/>
      </w:r>
      <w:r w:rsidR="00FD35E4" w:rsidRPr="000E66DA">
        <w:rPr>
          <w:rFonts w:ascii="Times New Roman" w:hAnsi="Times New Roman" w:cs="Times New Roman"/>
          <w:b/>
          <w:bCs/>
          <w:sz w:val="28"/>
          <w:szCs w:val="28"/>
          <w:lang w:val="uk-UA"/>
        </w:rPr>
        <w:t xml:space="preserve">       </w:t>
      </w:r>
      <w:r w:rsidRPr="000E66DA">
        <w:rPr>
          <w:rFonts w:ascii="Times New Roman" w:hAnsi="Times New Roman" w:cs="Times New Roman"/>
          <w:b/>
          <w:bCs/>
          <w:sz w:val="28"/>
          <w:szCs w:val="28"/>
          <w:lang w:val="uk-UA"/>
        </w:rPr>
        <w:t>І</w:t>
      </w:r>
      <w:r w:rsidR="00FD35E4" w:rsidRPr="000E66DA">
        <w:rPr>
          <w:rFonts w:ascii="Times New Roman" w:hAnsi="Times New Roman" w:cs="Times New Roman"/>
          <w:b/>
          <w:bCs/>
          <w:sz w:val="28"/>
          <w:szCs w:val="28"/>
          <w:lang w:val="uk-UA"/>
        </w:rPr>
        <w:t>ван</w:t>
      </w:r>
      <w:r w:rsidRPr="000E66DA">
        <w:rPr>
          <w:rFonts w:ascii="Times New Roman" w:hAnsi="Times New Roman" w:cs="Times New Roman"/>
          <w:b/>
          <w:bCs/>
          <w:sz w:val="28"/>
          <w:szCs w:val="28"/>
          <w:lang w:val="uk-UA"/>
        </w:rPr>
        <w:t xml:space="preserve"> РУДИЙ</w:t>
      </w:r>
    </w:p>
    <w:p w:rsidR="00047638" w:rsidRDefault="00047638" w:rsidP="00FD35E4">
      <w:pPr>
        <w:spacing w:after="0" w:line="20" w:lineRule="atLeast"/>
        <w:contextualSpacing/>
        <w:jc w:val="both"/>
        <w:rPr>
          <w:rFonts w:ascii="Times New Roman" w:hAnsi="Times New Roman" w:cs="Times New Roman"/>
          <w:b/>
          <w:bCs/>
          <w:sz w:val="28"/>
          <w:szCs w:val="28"/>
          <w:lang w:val="uk-UA"/>
        </w:rPr>
      </w:pPr>
    </w:p>
    <w:p w:rsidR="00047638" w:rsidRDefault="00047638" w:rsidP="00047638">
      <w:pPr>
        <w:spacing w:after="0" w:line="20" w:lineRule="atLeast"/>
        <w:contextualSpacing/>
        <w:jc w:val="right"/>
        <w:rPr>
          <w:rFonts w:ascii="Times New Roman" w:hAnsi="Times New Roman" w:cs="Times New Roman"/>
          <w:sz w:val="28"/>
          <w:szCs w:val="28"/>
          <w:lang w:val="uk-UA"/>
        </w:rPr>
      </w:pPr>
      <w:proofErr w:type="spellStart"/>
      <w:r w:rsidRPr="00047638">
        <w:rPr>
          <w:rFonts w:ascii="Times New Roman" w:hAnsi="Times New Roman" w:cs="Times New Roman"/>
          <w:sz w:val="28"/>
          <w:szCs w:val="28"/>
        </w:rPr>
        <w:lastRenderedPageBreak/>
        <w:t>Додаток</w:t>
      </w:r>
      <w:proofErr w:type="spellEnd"/>
      <w:r w:rsidRPr="00047638">
        <w:rPr>
          <w:rFonts w:ascii="Times New Roman" w:hAnsi="Times New Roman" w:cs="Times New Roman"/>
          <w:sz w:val="28"/>
          <w:szCs w:val="28"/>
        </w:rPr>
        <w:t xml:space="preserve"> 1 до </w:t>
      </w:r>
      <w:proofErr w:type="spellStart"/>
      <w:r w:rsidRPr="00047638">
        <w:rPr>
          <w:rFonts w:ascii="Times New Roman" w:hAnsi="Times New Roman" w:cs="Times New Roman"/>
          <w:sz w:val="28"/>
          <w:szCs w:val="28"/>
        </w:rPr>
        <w:t>Аналізу</w:t>
      </w:r>
      <w:proofErr w:type="spellEnd"/>
      <w:r w:rsidRPr="00047638">
        <w:rPr>
          <w:rFonts w:ascii="Times New Roman" w:hAnsi="Times New Roman" w:cs="Times New Roman"/>
          <w:sz w:val="28"/>
          <w:szCs w:val="28"/>
        </w:rPr>
        <w:t xml:space="preserve"> регуляторного </w:t>
      </w:r>
      <w:proofErr w:type="spellStart"/>
      <w:r w:rsidRPr="00047638">
        <w:rPr>
          <w:rFonts w:ascii="Times New Roman" w:hAnsi="Times New Roman" w:cs="Times New Roman"/>
          <w:sz w:val="28"/>
          <w:szCs w:val="28"/>
        </w:rPr>
        <w:t>впливу</w:t>
      </w:r>
      <w:proofErr w:type="spellEnd"/>
    </w:p>
    <w:p w:rsidR="0018789A" w:rsidRDefault="0018789A" w:rsidP="00047638">
      <w:pPr>
        <w:spacing w:after="0" w:line="20" w:lineRule="atLeast"/>
        <w:contextualSpacing/>
        <w:jc w:val="center"/>
        <w:rPr>
          <w:rFonts w:ascii="Times New Roman" w:eastAsia="Times New Roman" w:hAnsi="Times New Roman" w:cs="Times New Roman"/>
          <w:b/>
          <w:color w:val="000000"/>
          <w:sz w:val="28"/>
          <w:szCs w:val="28"/>
          <w:lang w:val="uk-UA" w:eastAsia="uk-UA"/>
        </w:rPr>
      </w:pPr>
    </w:p>
    <w:p w:rsidR="00047638" w:rsidRDefault="00047638" w:rsidP="00047638">
      <w:pPr>
        <w:spacing w:after="0" w:line="20" w:lineRule="atLeast"/>
        <w:contextualSpacing/>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color w:val="000000"/>
          <w:sz w:val="28"/>
          <w:szCs w:val="28"/>
          <w:lang w:val="uk-UA" w:eastAsia="uk-UA"/>
        </w:rPr>
        <w:t xml:space="preserve">ВИТРАТИ*  </w:t>
      </w:r>
    </w:p>
    <w:p w:rsidR="00047638" w:rsidRDefault="00047638" w:rsidP="00047638">
      <w:pPr>
        <w:spacing w:after="0" w:line="20" w:lineRule="atLeast"/>
        <w:contextualSpacing/>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на одного суб’єкта господарювання великого і середнього підприємництва, які виникають внаслідок дії регуляторного акта</w:t>
      </w:r>
    </w:p>
    <w:p w:rsidR="00047638" w:rsidRDefault="00047638" w:rsidP="00047638">
      <w:pPr>
        <w:spacing w:after="0" w:line="20" w:lineRule="atLeast"/>
        <w:contextualSpacing/>
        <w:jc w:val="center"/>
        <w:rPr>
          <w:rFonts w:ascii="Times New Roman" w:eastAsia="Times New Roman" w:hAnsi="Times New Roman" w:cs="Times New Roman"/>
          <w:b/>
          <w:sz w:val="20"/>
          <w:szCs w:val="20"/>
          <w:lang w:val="uk-UA" w:eastAsia="ru-RU"/>
        </w:rPr>
      </w:pPr>
    </w:p>
    <w:tbl>
      <w:tblPr>
        <w:tblW w:w="5250" w:type="pct"/>
        <w:jc w:val="center"/>
        <w:tblLayout w:type="fixed"/>
        <w:tblLook w:val="04A0" w:firstRow="1" w:lastRow="0" w:firstColumn="1" w:lastColumn="0" w:noHBand="0" w:noVBand="1"/>
      </w:tblPr>
      <w:tblGrid>
        <w:gridCol w:w="1681"/>
        <w:gridCol w:w="4648"/>
        <w:gridCol w:w="1897"/>
        <w:gridCol w:w="1925"/>
      </w:tblGrid>
      <w:tr w:rsidR="00047638" w:rsidRPr="00047638" w:rsidTr="00047638">
        <w:trPr>
          <w:jc w:val="center"/>
        </w:trPr>
        <w:tc>
          <w:tcPr>
            <w:tcW w:w="16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b/>
                <w:bCs/>
                <w:sz w:val="24"/>
                <w:szCs w:val="24"/>
                <w:lang w:val="uk-UA" w:eastAsia="ru-RU"/>
              </w:rPr>
            </w:pPr>
            <w:bookmarkStart w:id="57" w:name="n178"/>
            <w:bookmarkEnd w:id="57"/>
            <w:r w:rsidRPr="00047638">
              <w:rPr>
                <w:rFonts w:ascii="Times New Roman" w:eastAsia="Times New Roman" w:hAnsi="Times New Roman" w:cs="Times New Roman"/>
                <w:b/>
                <w:bCs/>
                <w:color w:val="000000"/>
                <w:sz w:val="24"/>
                <w:szCs w:val="24"/>
                <w:lang w:val="uk-UA" w:eastAsia="uk-UA"/>
              </w:rPr>
              <w:t>Порядковий номер</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ind w:left="125"/>
              <w:contextualSpacing/>
              <w:jc w:val="center"/>
              <w:rPr>
                <w:rFonts w:ascii="Times New Roman" w:eastAsia="Times New Roman" w:hAnsi="Times New Roman" w:cs="Times New Roman"/>
                <w:b/>
                <w:bCs/>
                <w:sz w:val="24"/>
                <w:szCs w:val="24"/>
                <w:lang w:val="uk-UA" w:eastAsia="ru-RU"/>
              </w:rPr>
            </w:pPr>
            <w:r w:rsidRPr="00047638">
              <w:rPr>
                <w:rFonts w:ascii="Times New Roman" w:eastAsia="Times New Roman" w:hAnsi="Times New Roman" w:cs="Times New Roman"/>
                <w:b/>
                <w:bCs/>
                <w:color w:val="000000"/>
                <w:sz w:val="24"/>
                <w:szCs w:val="24"/>
                <w:lang w:val="uk-UA" w:eastAsia="uk-UA"/>
              </w:rPr>
              <w:t>Витрати</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b/>
                <w:bCs/>
                <w:sz w:val="24"/>
                <w:szCs w:val="24"/>
                <w:lang w:val="uk-UA" w:eastAsia="ru-RU"/>
              </w:rPr>
            </w:pPr>
            <w:r w:rsidRPr="00047638">
              <w:rPr>
                <w:rFonts w:ascii="Times New Roman" w:eastAsia="Times New Roman" w:hAnsi="Times New Roman" w:cs="Times New Roman"/>
                <w:b/>
                <w:bCs/>
                <w:color w:val="000000"/>
                <w:sz w:val="24"/>
                <w:szCs w:val="24"/>
                <w:lang w:val="uk-UA" w:eastAsia="uk-UA"/>
              </w:rPr>
              <w:t>За перший рік</w:t>
            </w:r>
          </w:p>
        </w:tc>
        <w:tc>
          <w:tcPr>
            <w:tcW w:w="18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b/>
                <w:bCs/>
                <w:sz w:val="24"/>
                <w:szCs w:val="24"/>
                <w:lang w:val="uk-UA" w:eastAsia="ru-RU"/>
              </w:rPr>
            </w:pPr>
            <w:r w:rsidRPr="00047638">
              <w:rPr>
                <w:rFonts w:ascii="Times New Roman" w:eastAsia="Times New Roman" w:hAnsi="Times New Roman" w:cs="Times New Roman"/>
                <w:b/>
                <w:bCs/>
                <w:color w:val="000000"/>
                <w:sz w:val="24"/>
                <w:szCs w:val="24"/>
                <w:lang w:val="uk-UA" w:eastAsia="uk-UA"/>
              </w:rPr>
              <w:t>За п’ять років</w:t>
            </w:r>
          </w:p>
        </w:tc>
      </w:tr>
      <w:tr w:rsidR="00047638" w:rsidRPr="00047638" w:rsidTr="00047638">
        <w:trPr>
          <w:jc w:val="center"/>
        </w:trPr>
        <w:tc>
          <w:tcPr>
            <w:tcW w:w="16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color w:val="000000"/>
                <w:sz w:val="24"/>
                <w:szCs w:val="24"/>
                <w:lang w:val="uk-UA" w:eastAsia="uk-UA"/>
              </w:rPr>
              <w:t>1</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ind w:left="125"/>
              <w:contextualSpacing/>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color w:val="333333"/>
                <w:sz w:val="24"/>
                <w:szCs w:val="24"/>
                <w:shd w:val="clear" w:color="auto" w:fill="FFFFFF"/>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tabs>
                <w:tab w:val="left" w:pos="705"/>
              </w:tabs>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0</w:t>
            </w:r>
          </w:p>
        </w:tc>
        <w:tc>
          <w:tcPr>
            <w:tcW w:w="18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0</w:t>
            </w:r>
          </w:p>
        </w:tc>
      </w:tr>
      <w:tr w:rsidR="00047638" w:rsidRPr="00047638" w:rsidTr="00047638">
        <w:trPr>
          <w:jc w:val="center"/>
        </w:trPr>
        <w:tc>
          <w:tcPr>
            <w:tcW w:w="16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color w:val="000000"/>
                <w:sz w:val="24"/>
                <w:szCs w:val="24"/>
                <w:lang w:val="uk-UA" w:eastAsia="uk-UA"/>
              </w:rPr>
            </w:pPr>
            <w:r w:rsidRPr="00047638">
              <w:rPr>
                <w:rFonts w:ascii="Times New Roman" w:eastAsia="Times New Roman" w:hAnsi="Times New Roman" w:cs="Times New Roman"/>
                <w:color w:val="000000"/>
                <w:sz w:val="24"/>
                <w:szCs w:val="24"/>
                <w:lang w:val="uk-UA" w:eastAsia="uk-UA"/>
              </w:rPr>
              <w:t>2</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ind w:left="125"/>
              <w:contextualSpacing/>
              <w:rPr>
                <w:rFonts w:ascii="Times New Roman" w:eastAsia="Times New Roman" w:hAnsi="Times New Roman" w:cs="Times New Roman"/>
                <w:color w:val="000000"/>
                <w:sz w:val="24"/>
                <w:szCs w:val="24"/>
                <w:lang w:val="uk-UA" w:eastAsia="uk-UA"/>
              </w:rPr>
            </w:pPr>
            <w:r w:rsidRPr="00047638">
              <w:rPr>
                <w:rFonts w:ascii="Times New Roman" w:eastAsia="Times New Roman" w:hAnsi="Times New Roman" w:cs="Times New Roman"/>
                <w:color w:val="333333"/>
                <w:sz w:val="24"/>
                <w:szCs w:val="24"/>
                <w:shd w:val="clear" w:color="auto" w:fill="FFFFFF"/>
                <w:lang w:val="uk-UA" w:eastAsia="ru-RU"/>
              </w:rPr>
              <w:t>Податки та збори (зміна розміру податків/зборів, виникнення необхідності у сплаті податків/зборів), гривень</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0</w:t>
            </w:r>
          </w:p>
        </w:tc>
        <w:tc>
          <w:tcPr>
            <w:tcW w:w="18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0</w:t>
            </w:r>
          </w:p>
        </w:tc>
      </w:tr>
      <w:tr w:rsidR="00047638" w:rsidRPr="00047638" w:rsidTr="00047638">
        <w:trPr>
          <w:jc w:val="center"/>
        </w:trPr>
        <w:tc>
          <w:tcPr>
            <w:tcW w:w="16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color w:val="000000"/>
                <w:sz w:val="24"/>
                <w:szCs w:val="24"/>
                <w:lang w:val="uk-UA" w:eastAsia="uk-UA"/>
              </w:rPr>
            </w:pPr>
            <w:r w:rsidRPr="00047638">
              <w:rPr>
                <w:rFonts w:ascii="Times New Roman" w:eastAsia="Times New Roman" w:hAnsi="Times New Roman" w:cs="Times New Roman"/>
                <w:color w:val="000000"/>
                <w:sz w:val="24"/>
                <w:szCs w:val="24"/>
                <w:lang w:val="uk-UA" w:eastAsia="uk-UA"/>
              </w:rPr>
              <w:t>3</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ind w:left="125"/>
              <w:contextualSpacing/>
              <w:rPr>
                <w:rFonts w:ascii="Times New Roman" w:eastAsia="Times New Roman" w:hAnsi="Times New Roman" w:cs="Times New Roman"/>
                <w:color w:val="000000"/>
                <w:sz w:val="24"/>
                <w:szCs w:val="24"/>
                <w:lang w:val="uk-UA" w:eastAsia="uk-UA"/>
              </w:rPr>
            </w:pPr>
            <w:r w:rsidRPr="00047638">
              <w:rPr>
                <w:rFonts w:ascii="Times New Roman" w:eastAsia="Times New Roman" w:hAnsi="Times New Roman" w:cs="Times New Roman"/>
                <w:color w:val="333333"/>
                <w:sz w:val="24"/>
                <w:szCs w:val="24"/>
                <w:shd w:val="clear" w:color="auto" w:fill="FFFFFF"/>
                <w:lang w:val="uk-UA" w:eastAsia="ru-RU"/>
              </w:rPr>
              <w:t>Витрати, пов’язані із веденням обліку, підготовкою та поданням звітності державним органам, гривень</w:t>
            </w:r>
            <w:r w:rsidRPr="00047638">
              <w:rPr>
                <w:rFonts w:ascii="Times New Roman" w:eastAsia="Times New Roman" w:hAnsi="Times New Roman" w:cs="Times New Roman"/>
                <w:b/>
                <w:color w:val="000000"/>
                <w:sz w:val="24"/>
                <w:szCs w:val="24"/>
                <w:lang w:val="uk-UA" w:eastAsia="ru-RU"/>
              </w:rPr>
              <w:t>**</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2512,64</w:t>
            </w:r>
          </w:p>
        </w:tc>
        <w:tc>
          <w:tcPr>
            <w:tcW w:w="18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12563,20</w:t>
            </w:r>
          </w:p>
        </w:tc>
      </w:tr>
      <w:tr w:rsidR="00047638" w:rsidRPr="00047638" w:rsidTr="00047638">
        <w:trPr>
          <w:jc w:val="center"/>
        </w:trPr>
        <w:tc>
          <w:tcPr>
            <w:tcW w:w="16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color w:val="000000"/>
                <w:sz w:val="24"/>
                <w:szCs w:val="24"/>
                <w:lang w:val="uk-UA" w:eastAsia="uk-UA"/>
              </w:rPr>
            </w:pPr>
            <w:r w:rsidRPr="00047638">
              <w:rPr>
                <w:rFonts w:ascii="Times New Roman" w:eastAsia="Times New Roman" w:hAnsi="Times New Roman" w:cs="Times New Roman"/>
                <w:color w:val="000000"/>
                <w:sz w:val="24"/>
                <w:szCs w:val="24"/>
                <w:lang w:val="uk-UA" w:eastAsia="uk-UA"/>
              </w:rPr>
              <w:t>4</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ind w:left="125"/>
              <w:contextualSpacing/>
              <w:rPr>
                <w:rFonts w:ascii="Times New Roman" w:eastAsia="Times New Roman" w:hAnsi="Times New Roman" w:cs="Times New Roman"/>
                <w:color w:val="000000"/>
                <w:sz w:val="24"/>
                <w:szCs w:val="24"/>
                <w:lang w:val="uk-UA" w:eastAsia="uk-UA"/>
              </w:rPr>
            </w:pPr>
            <w:r w:rsidRPr="00047638">
              <w:rPr>
                <w:rFonts w:ascii="Times New Roman" w:eastAsia="Times New Roman" w:hAnsi="Times New Roman" w:cs="Times New Roman"/>
                <w:color w:val="333333"/>
                <w:sz w:val="24"/>
                <w:szCs w:val="24"/>
                <w:shd w:val="clear" w:color="auto" w:fill="FFFFFF"/>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0</w:t>
            </w:r>
          </w:p>
        </w:tc>
        <w:tc>
          <w:tcPr>
            <w:tcW w:w="18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0</w:t>
            </w:r>
          </w:p>
        </w:tc>
      </w:tr>
      <w:tr w:rsidR="00047638" w:rsidRPr="00047638" w:rsidTr="00047638">
        <w:trPr>
          <w:jc w:val="center"/>
        </w:trPr>
        <w:tc>
          <w:tcPr>
            <w:tcW w:w="16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color w:val="000000"/>
                <w:sz w:val="24"/>
                <w:szCs w:val="24"/>
                <w:lang w:val="uk-UA" w:eastAsia="uk-UA"/>
              </w:rPr>
            </w:pPr>
            <w:r w:rsidRPr="00047638">
              <w:rPr>
                <w:rFonts w:ascii="Times New Roman" w:eastAsia="Times New Roman" w:hAnsi="Times New Roman" w:cs="Times New Roman"/>
                <w:color w:val="000000"/>
                <w:sz w:val="24"/>
                <w:szCs w:val="24"/>
                <w:lang w:val="uk-UA" w:eastAsia="uk-UA"/>
              </w:rPr>
              <w:t>5</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ind w:left="125"/>
              <w:contextualSpacing/>
              <w:rPr>
                <w:rFonts w:ascii="Times New Roman" w:eastAsia="Times New Roman" w:hAnsi="Times New Roman" w:cs="Times New Roman"/>
                <w:color w:val="000000"/>
                <w:sz w:val="24"/>
                <w:szCs w:val="24"/>
                <w:lang w:val="uk-UA" w:eastAsia="uk-UA"/>
              </w:rPr>
            </w:pPr>
            <w:r w:rsidRPr="00047638">
              <w:rPr>
                <w:rFonts w:ascii="Times New Roman" w:eastAsia="Times New Roman" w:hAnsi="Times New Roman" w:cs="Times New Roman"/>
                <w:color w:val="333333"/>
                <w:sz w:val="24"/>
                <w:szCs w:val="24"/>
                <w:shd w:val="clear" w:color="auto" w:fill="FFFFFF"/>
                <w:lang w:val="uk-UA"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0</w:t>
            </w:r>
          </w:p>
        </w:tc>
        <w:tc>
          <w:tcPr>
            <w:tcW w:w="18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0</w:t>
            </w:r>
          </w:p>
        </w:tc>
      </w:tr>
      <w:tr w:rsidR="00047638" w:rsidRPr="00047638" w:rsidTr="00047638">
        <w:trPr>
          <w:jc w:val="center"/>
        </w:trPr>
        <w:tc>
          <w:tcPr>
            <w:tcW w:w="16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6</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ind w:left="125"/>
              <w:contextualSpacing/>
              <w:rPr>
                <w:rFonts w:ascii="Times New Roman" w:eastAsia="Times New Roman" w:hAnsi="Times New Roman" w:cs="Times New Roman"/>
                <w:color w:val="000000"/>
                <w:sz w:val="24"/>
                <w:szCs w:val="24"/>
                <w:lang w:val="uk-UA" w:eastAsia="uk-UA"/>
              </w:rPr>
            </w:pPr>
            <w:r w:rsidRPr="00047638">
              <w:rPr>
                <w:rFonts w:ascii="Times New Roman" w:eastAsia="Times New Roman" w:hAnsi="Times New Roman" w:cs="Times New Roman"/>
                <w:color w:val="333333"/>
                <w:sz w:val="24"/>
                <w:szCs w:val="24"/>
                <w:shd w:val="clear" w:color="auto" w:fill="FFFFFF"/>
                <w:lang w:val="uk-UA" w:eastAsia="ru-RU"/>
              </w:rPr>
              <w:t>Витрати на оборотні активи (матеріали, канцелярські товари тощо), гривень</w:t>
            </w:r>
            <w:r w:rsidRPr="00047638">
              <w:rPr>
                <w:rFonts w:ascii="Times New Roman" w:eastAsia="Times New Roman" w:hAnsi="Times New Roman" w:cs="Times New Roman"/>
                <w:b/>
                <w:color w:val="000000"/>
                <w:sz w:val="24"/>
                <w:szCs w:val="24"/>
                <w:lang w:val="uk-UA" w:eastAsia="ru-RU"/>
              </w:rPr>
              <w:t>***</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96,00</w:t>
            </w:r>
          </w:p>
        </w:tc>
        <w:tc>
          <w:tcPr>
            <w:tcW w:w="18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480,00</w:t>
            </w:r>
          </w:p>
        </w:tc>
      </w:tr>
      <w:tr w:rsidR="00047638" w:rsidRPr="00047638" w:rsidTr="00047638">
        <w:trPr>
          <w:jc w:val="center"/>
        </w:trPr>
        <w:tc>
          <w:tcPr>
            <w:tcW w:w="16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7</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ind w:left="125"/>
              <w:contextualSpacing/>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color w:val="000000"/>
                <w:sz w:val="24"/>
                <w:szCs w:val="24"/>
                <w:lang w:val="uk-UA" w:eastAsia="uk-UA"/>
              </w:rPr>
              <w:t>Витрати, пов’язані із наймом додаткового персоналу, гривень</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0</w:t>
            </w:r>
          </w:p>
        </w:tc>
        <w:tc>
          <w:tcPr>
            <w:tcW w:w="18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0</w:t>
            </w:r>
          </w:p>
        </w:tc>
      </w:tr>
      <w:tr w:rsidR="00047638" w:rsidRPr="00047638" w:rsidTr="00047638">
        <w:trPr>
          <w:jc w:val="center"/>
        </w:trPr>
        <w:tc>
          <w:tcPr>
            <w:tcW w:w="16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color w:val="000000"/>
                <w:sz w:val="24"/>
                <w:szCs w:val="24"/>
                <w:lang w:val="uk-UA" w:eastAsia="uk-UA"/>
              </w:rPr>
              <w:t>8</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ind w:left="125" w:right="450"/>
              <w:contextualSpacing/>
              <w:jc w:val="both"/>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color w:val="000000"/>
                <w:sz w:val="24"/>
                <w:szCs w:val="24"/>
                <w:lang w:val="uk-UA" w:eastAsia="uk-UA"/>
              </w:rPr>
              <w:t>Інше, гривень</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0</w:t>
            </w:r>
          </w:p>
        </w:tc>
        <w:tc>
          <w:tcPr>
            <w:tcW w:w="18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0</w:t>
            </w:r>
          </w:p>
        </w:tc>
      </w:tr>
      <w:tr w:rsidR="00047638" w:rsidRPr="00047638" w:rsidTr="00047638">
        <w:trPr>
          <w:jc w:val="center"/>
        </w:trPr>
        <w:tc>
          <w:tcPr>
            <w:tcW w:w="16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color w:val="000000"/>
                <w:sz w:val="24"/>
                <w:szCs w:val="24"/>
                <w:lang w:val="uk-UA" w:eastAsia="uk-UA"/>
              </w:rPr>
              <w:t>9</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ind w:left="125"/>
              <w:contextualSpacing/>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color w:val="000000"/>
                <w:sz w:val="24"/>
                <w:szCs w:val="24"/>
                <w:lang w:val="uk-UA" w:eastAsia="uk-UA"/>
              </w:rPr>
              <w:t>РАЗОМ (сума рядків: 1 + 2 + 3 + 4 + 5), гривень</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2608,64</w:t>
            </w:r>
          </w:p>
        </w:tc>
        <w:tc>
          <w:tcPr>
            <w:tcW w:w="18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13043,20</w:t>
            </w:r>
          </w:p>
        </w:tc>
      </w:tr>
      <w:tr w:rsidR="00047638" w:rsidRPr="00047638" w:rsidTr="00047638">
        <w:trPr>
          <w:jc w:val="center"/>
        </w:trPr>
        <w:tc>
          <w:tcPr>
            <w:tcW w:w="16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color w:val="000000"/>
                <w:sz w:val="24"/>
                <w:szCs w:val="24"/>
                <w:lang w:val="uk-UA" w:eastAsia="uk-UA"/>
              </w:rPr>
              <w:t>10</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ind w:left="125"/>
              <w:contextualSpacing/>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color w:val="000000"/>
                <w:sz w:val="24"/>
                <w:szCs w:val="24"/>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44</w:t>
            </w:r>
          </w:p>
        </w:tc>
        <w:tc>
          <w:tcPr>
            <w:tcW w:w="18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44</w:t>
            </w:r>
          </w:p>
        </w:tc>
      </w:tr>
      <w:tr w:rsidR="00047638" w:rsidRPr="00047638" w:rsidTr="00047638">
        <w:trPr>
          <w:jc w:val="center"/>
        </w:trPr>
        <w:tc>
          <w:tcPr>
            <w:tcW w:w="16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color w:val="000000"/>
                <w:sz w:val="24"/>
                <w:szCs w:val="24"/>
                <w:lang w:val="uk-UA" w:eastAsia="uk-UA"/>
              </w:rPr>
              <w:t>11</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ind w:left="125"/>
              <w:contextualSpacing/>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color w:val="000000"/>
                <w:sz w:val="24"/>
                <w:szCs w:val="24"/>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114780,16</w:t>
            </w:r>
          </w:p>
        </w:tc>
        <w:tc>
          <w:tcPr>
            <w:tcW w:w="18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pPr>
              <w:spacing w:after="0" w:line="20" w:lineRule="atLeast"/>
              <w:contextualSpacing/>
              <w:jc w:val="center"/>
              <w:rPr>
                <w:rFonts w:ascii="Times New Roman" w:eastAsia="Times New Roman" w:hAnsi="Times New Roman" w:cs="Times New Roman"/>
                <w:sz w:val="24"/>
                <w:szCs w:val="24"/>
                <w:lang w:val="uk-UA" w:eastAsia="ru-RU"/>
              </w:rPr>
            </w:pPr>
            <w:r w:rsidRPr="00047638">
              <w:rPr>
                <w:rFonts w:ascii="Times New Roman" w:eastAsia="Times New Roman" w:hAnsi="Times New Roman" w:cs="Times New Roman"/>
                <w:sz w:val="24"/>
                <w:szCs w:val="24"/>
                <w:lang w:val="uk-UA" w:eastAsia="ru-RU"/>
              </w:rPr>
              <w:t>573900,80</w:t>
            </w:r>
          </w:p>
        </w:tc>
      </w:tr>
    </w:tbl>
    <w:p w:rsidR="00047638" w:rsidRDefault="00047638" w:rsidP="00047638">
      <w:pPr>
        <w:spacing w:after="0" w:line="20" w:lineRule="atLeast"/>
        <w:ind w:firstLine="567"/>
        <w:contextualSpacing/>
        <w:jc w:val="both"/>
        <w:rPr>
          <w:rFonts w:ascii="Times New Roman" w:hAnsi="Times New Roman" w:cs="Times New Roman"/>
          <w:b/>
          <w:color w:val="000000"/>
          <w:sz w:val="24"/>
          <w:szCs w:val="24"/>
          <w:lang w:val="uk-UA"/>
        </w:rPr>
      </w:pPr>
    </w:p>
    <w:p w:rsidR="00047638" w:rsidRDefault="00047638" w:rsidP="00047638">
      <w:pPr>
        <w:pStyle w:val="a8"/>
        <w:spacing w:after="0" w:line="20" w:lineRule="atLeast"/>
        <w:ind w:left="0" w:firstLine="567"/>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*Проектом рішення визначається перелік, форми та порядок подання звітності організаторами азартних ігор.</w:t>
      </w:r>
    </w:p>
    <w:p w:rsidR="0018789A" w:rsidRDefault="0018789A" w:rsidP="0018789A">
      <w:pPr>
        <w:spacing w:after="0" w:line="20" w:lineRule="atLeast"/>
        <w:ind w:firstLine="567"/>
        <w:contextualSpacing/>
        <w:jc w:val="right"/>
        <w:rPr>
          <w:rFonts w:ascii="Times New Roman" w:hAnsi="Times New Roman" w:cs="Times New Roman"/>
          <w:color w:val="000000"/>
          <w:sz w:val="28"/>
          <w:szCs w:val="28"/>
          <w:lang w:val="uk-UA" w:eastAsia="uk-UA"/>
        </w:rPr>
      </w:pPr>
    </w:p>
    <w:p w:rsidR="0018789A" w:rsidRDefault="0018789A" w:rsidP="0018789A">
      <w:pPr>
        <w:spacing w:after="0" w:line="20" w:lineRule="atLeast"/>
        <w:ind w:firstLine="567"/>
        <w:contextualSpacing/>
        <w:jc w:val="right"/>
        <w:rPr>
          <w:rFonts w:ascii="Times New Roman" w:hAnsi="Times New Roman" w:cs="Times New Roman"/>
          <w:color w:val="000000"/>
          <w:sz w:val="28"/>
          <w:szCs w:val="28"/>
          <w:lang w:val="uk-UA" w:eastAsia="uk-UA"/>
        </w:rPr>
      </w:pPr>
      <w:r w:rsidRPr="00047638">
        <w:rPr>
          <w:rFonts w:ascii="Times New Roman" w:hAnsi="Times New Roman" w:cs="Times New Roman"/>
          <w:color w:val="000000"/>
          <w:sz w:val="28"/>
          <w:szCs w:val="28"/>
          <w:lang w:val="uk-UA" w:eastAsia="uk-UA"/>
        </w:rPr>
        <w:lastRenderedPageBreak/>
        <w:t>Продовження додатка 1</w:t>
      </w:r>
    </w:p>
    <w:p w:rsidR="0018789A" w:rsidRPr="0018789A" w:rsidRDefault="0018789A" w:rsidP="0018789A">
      <w:pPr>
        <w:spacing w:after="0" w:line="20" w:lineRule="atLeast"/>
        <w:ind w:firstLine="567"/>
        <w:contextualSpacing/>
        <w:jc w:val="right"/>
        <w:rPr>
          <w:rFonts w:ascii="Times New Roman" w:hAnsi="Times New Roman" w:cs="Times New Roman"/>
          <w:bCs/>
          <w:color w:val="000000"/>
          <w:sz w:val="28"/>
          <w:szCs w:val="28"/>
          <w:lang w:val="uk-UA"/>
        </w:rPr>
      </w:pPr>
    </w:p>
    <w:p w:rsidR="00047638" w:rsidRDefault="00047638" w:rsidP="00047638">
      <w:pPr>
        <w:spacing w:after="0" w:line="20" w:lineRule="atLeast"/>
        <w:ind w:firstLine="567"/>
        <w:contextualSpacing/>
        <w:jc w:val="both"/>
        <w:rPr>
          <w:rFonts w:ascii="Times New Roman" w:hAnsi="Times New Roman" w:cs="Times New Roman"/>
          <w:color w:val="000000"/>
          <w:sz w:val="24"/>
          <w:szCs w:val="24"/>
          <w:lang w:val="uk-UA" w:eastAsia="uk-UA"/>
        </w:rPr>
      </w:pPr>
      <w:r>
        <w:rPr>
          <w:rFonts w:ascii="Times New Roman" w:hAnsi="Times New Roman" w:cs="Times New Roman"/>
          <w:bCs/>
          <w:color w:val="000000"/>
          <w:sz w:val="24"/>
          <w:szCs w:val="24"/>
          <w:lang w:val="uk-UA"/>
        </w:rPr>
        <w:t>**</w:t>
      </w:r>
      <w:r>
        <w:rPr>
          <w:rFonts w:ascii="Times New Roman" w:hAnsi="Times New Roman" w:cs="Times New Roman"/>
          <w:color w:val="000000"/>
          <w:sz w:val="24"/>
          <w:szCs w:val="24"/>
          <w:lang w:val="uk-UA" w:eastAsia="uk-UA"/>
        </w:rPr>
        <w:t>Витрати часу персоналу суб’єкта господарювання на підготовку та відправлення  звітності орієнтовно складатимуть 16 год.</w:t>
      </w:r>
    </w:p>
    <w:p w:rsidR="00047638" w:rsidRDefault="00047638" w:rsidP="00047638">
      <w:pPr>
        <w:spacing w:after="0" w:line="20" w:lineRule="atLeast"/>
        <w:ind w:firstLine="567"/>
        <w:contextualSpacing/>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 xml:space="preserve">Розмір мінімальної заробітної плати станом на 01.01.2022 відповідно до Закону України «Про Державний бюджет України на 2022 рік» складає 6500 грн. (погодинно – 39,26 </w:t>
      </w:r>
      <w:proofErr w:type="spellStart"/>
      <w:r>
        <w:rPr>
          <w:rFonts w:ascii="Times New Roman" w:hAnsi="Times New Roman" w:cs="Times New Roman"/>
          <w:color w:val="000000"/>
          <w:sz w:val="24"/>
          <w:szCs w:val="24"/>
          <w:lang w:val="uk-UA" w:eastAsia="uk-UA"/>
        </w:rPr>
        <w:t>грн</w:t>
      </w:r>
      <w:proofErr w:type="spellEnd"/>
      <w:r>
        <w:rPr>
          <w:rFonts w:ascii="Times New Roman" w:hAnsi="Times New Roman" w:cs="Times New Roman"/>
          <w:color w:val="000000"/>
          <w:sz w:val="24"/>
          <w:szCs w:val="24"/>
          <w:lang w:val="uk-UA" w:eastAsia="uk-UA"/>
        </w:rPr>
        <w:t>).</w:t>
      </w:r>
    </w:p>
    <w:p w:rsidR="00047638" w:rsidRDefault="00047638" w:rsidP="00047638">
      <w:pPr>
        <w:spacing w:after="0" w:line="20" w:lineRule="atLeast"/>
        <w:ind w:firstLine="567"/>
        <w:contextualSpacing/>
        <w:jc w:val="both"/>
        <w:rPr>
          <w:rFonts w:ascii="Times New Roman" w:hAnsi="Times New Roman" w:cs="Times New Roman"/>
          <w:color w:val="000000"/>
          <w:spacing w:val="-6"/>
          <w:sz w:val="24"/>
          <w:szCs w:val="24"/>
          <w:lang w:val="uk-UA" w:eastAsia="uk-UA"/>
        </w:rPr>
      </w:pPr>
      <w:r>
        <w:rPr>
          <w:rFonts w:ascii="Times New Roman" w:hAnsi="Times New Roman" w:cs="Times New Roman"/>
          <w:color w:val="000000"/>
          <w:spacing w:val="-6"/>
          <w:sz w:val="24"/>
          <w:szCs w:val="24"/>
          <w:lang w:val="uk-UA" w:eastAsia="uk-UA"/>
        </w:rPr>
        <w:t xml:space="preserve">Отже, розмір витрат на підготовку звітності складатиме 628,16  </w:t>
      </w:r>
      <w:proofErr w:type="spellStart"/>
      <w:r>
        <w:rPr>
          <w:rFonts w:ascii="Times New Roman" w:hAnsi="Times New Roman" w:cs="Times New Roman"/>
          <w:color w:val="000000"/>
          <w:spacing w:val="-6"/>
          <w:sz w:val="24"/>
          <w:szCs w:val="24"/>
          <w:lang w:val="uk-UA" w:eastAsia="uk-UA"/>
        </w:rPr>
        <w:t>грн</w:t>
      </w:r>
      <w:proofErr w:type="spellEnd"/>
      <w:r>
        <w:rPr>
          <w:rFonts w:ascii="Times New Roman" w:hAnsi="Times New Roman" w:cs="Times New Roman"/>
          <w:color w:val="000000"/>
          <w:spacing w:val="-6"/>
          <w:sz w:val="24"/>
          <w:szCs w:val="24"/>
          <w:lang w:val="uk-UA" w:eastAsia="uk-UA"/>
        </w:rPr>
        <w:t xml:space="preserve"> (39,26 </w:t>
      </w:r>
      <w:proofErr w:type="spellStart"/>
      <w:r>
        <w:rPr>
          <w:rFonts w:ascii="Times New Roman" w:hAnsi="Times New Roman" w:cs="Times New Roman"/>
          <w:color w:val="000000"/>
          <w:spacing w:val="-6"/>
          <w:sz w:val="24"/>
          <w:szCs w:val="24"/>
          <w:lang w:val="uk-UA" w:eastAsia="uk-UA"/>
        </w:rPr>
        <w:t>грн</w:t>
      </w:r>
      <w:proofErr w:type="spellEnd"/>
      <w:r>
        <w:rPr>
          <w:rFonts w:ascii="Times New Roman" w:hAnsi="Times New Roman" w:cs="Times New Roman"/>
          <w:color w:val="000000"/>
          <w:spacing w:val="-6"/>
          <w:sz w:val="24"/>
          <w:szCs w:val="24"/>
          <w:lang w:val="uk-UA" w:eastAsia="uk-UA"/>
        </w:rPr>
        <w:t xml:space="preserve"> Х 16 год.).</w:t>
      </w:r>
    </w:p>
    <w:p w:rsidR="00047638" w:rsidRDefault="00047638" w:rsidP="00047638">
      <w:pPr>
        <w:spacing w:after="0" w:line="20" w:lineRule="atLeast"/>
        <w:ind w:firstLine="567"/>
        <w:contextualSpacing/>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Проектом рішення встановлюється, що звітність подається організатором азартних ігор до КРАІЛ  щокварталу (тобто чотири рази на рік).</w:t>
      </w:r>
    </w:p>
    <w:p w:rsidR="00047638" w:rsidRDefault="00047638" w:rsidP="00047638">
      <w:pPr>
        <w:spacing w:after="0" w:line="20" w:lineRule="atLeast"/>
        <w:ind w:firstLine="567"/>
        <w:contextualSpacing/>
        <w:jc w:val="both"/>
        <w:rPr>
          <w:rFonts w:ascii="Times New Roman" w:hAnsi="Times New Roman" w:cs="Times New Roman"/>
          <w:bCs/>
          <w:color w:val="000000"/>
          <w:sz w:val="24"/>
          <w:szCs w:val="24"/>
          <w:lang w:val="uk-UA"/>
        </w:rPr>
      </w:pPr>
      <w:r>
        <w:rPr>
          <w:rFonts w:ascii="Times New Roman" w:hAnsi="Times New Roman" w:cs="Times New Roman"/>
          <w:color w:val="000000"/>
          <w:sz w:val="24"/>
          <w:szCs w:val="24"/>
          <w:lang w:val="uk-UA" w:eastAsia="uk-UA"/>
        </w:rPr>
        <w:t>Таким чином, загальний обсяг витрат на підготовку звітності протягом року складе 2512,64</w:t>
      </w:r>
      <w:r>
        <w:rPr>
          <w:rFonts w:ascii="Times New Roman" w:hAnsi="Times New Roman" w:cs="Times New Roman"/>
          <w:bCs/>
          <w:color w:val="000000"/>
          <w:sz w:val="24"/>
          <w:szCs w:val="24"/>
          <w:lang w:val="uk-UA"/>
        </w:rPr>
        <w:t xml:space="preserve"> грн. </w:t>
      </w:r>
    </w:p>
    <w:p w:rsidR="00047638" w:rsidRDefault="00047638" w:rsidP="00047638">
      <w:pPr>
        <w:spacing w:after="0" w:line="20" w:lineRule="atLeast"/>
        <w:ind w:firstLine="567"/>
        <w:contextualSpacing/>
        <w:jc w:val="both"/>
        <w:rPr>
          <w:rFonts w:ascii="Times New Roman" w:hAnsi="Times New Roman" w:cs="Times New Roman"/>
          <w:color w:val="000000"/>
          <w:sz w:val="24"/>
          <w:szCs w:val="24"/>
          <w:lang w:val="uk-UA" w:eastAsia="uk-UA"/>
        </w:rPr>
      </w:pPr>
      <w:r>
        <w:rPr>
          <w:rFonts w:ascii="Times New Roman" w:hAnsi="Times New Roman" w:cs="Times New Roman"/>
          <w:bCs/>
          <w:color w:val="000000"/>
          <w:sz w:val="24"/>
          <w:szCs w:val="24"/>
          <w:lang w:val="uk-UA"/>
        </w:rPr>
        <w:t>***</w:t>
      </w:r>
      <w:r>
        <w:rPr>
          <w:rFonts w:ascii="Times New Roman" w:hAnsi="Times New Roman" w:cs="Times New Roman"/>
          <w:color w:val="000000"/>
          <w:sz w:val="24"/>
          <w:szCs w:val="24"/>
          <w:lang w:val="uk-UA" w:eastAsia="uk-UA"/>
        </w:rPr>
        <w:t xml:space="preserve"> Проектом рішення передбачено, що організатор азартних ігор може подати звітність також у паперовому вигляді.</w:t>
      </w:r>
    </w:p>
    <w:p w:rsidR="00047638" w:rsidRDefault="00047638" w:rsidP="00047638">
      <w:pPr>
        <w:spacing w:after="0" w:line="20" w:lineRule="atLeast"/>
        <w:ind w:firstLine="567"/>
        <w:contextualSpacing/>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Вартість відправлення рекомендованого листа з повідомленням про вручення згідно з тарифами Укрпошти – 24,50 грн.</w:t>
      </w:r>
    </w:p>
    <w:p w:rsidR="00047638" w:rsidRDefault="00047638" w:rsidP="00047638">
      <w:pPr>
        <w:spacing w:after="0" w:line="20" w:lineRule="atLeast"/>
        <w:ind w:firstLine="567"/>
        <w:contextualSpacing/>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До розрахунку включено вартість відправлення чотирьох (протягом року) рекомендованих листів  із звітністю організаторів азартних ігор.</w:t>
      </w:r>
    </w:p>
    <w:p w:rsidR="00047638" w:rsidRDefault="00047638" w:rsidP="00047638">
      <w:pPr>
        <w:spacing w:after="0" w:line="20" w:lineRule="atLeast"/>
        <w:ind w:firstLine="567"/>
        <w:contextualSpacing/>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 xml:space="preserve">Всього обсяг витрат на відправку звітності складе 96,00 </w:t>
      </w:r>
      <w:proofErr w:type="spellStart"/>
      <w:r>
        <w:rPr>
          <w:rFonts w:ascii="Times New Roman" w:hAnsi="Times New Roman" w:cs="Times New Roman"/>
          <w:color w:val="000000"/>
          <w:sz w:val="24"/>
          <w:szCs w:val="24"/>
          <w:lang w:val="uk-UA" w:eastAsia="uk-UA"/>
        </w:rPr>
        <w:t>грн</w:t>
      </w:r>
      <w:proofErr w:type="spellEnd"/>
      <w:r>
        <w:rPr>
          <w:rFonts w:ascii="Times New Roman" w:hAnsi="Times New Roman" w:cs="Times New Roman"/>
          <w:color w:val="000000"/>
          <w:sz w:val="24"/>
          <w:szCs w:val="24"/>
          <w:lang w:val="uk-UA" w:eastAsia="uk-UA"/>
        </w:rPr>
        <w:t xml:space="preserve"> (24,50 </w:t>
      </w:r>
      <w:proofErr w:type="spellStart"/>
      <w:r>
        <w:rPr>
          <w:rFonts w:ascii="Times New Roman" w:hAnsi="Times New Roman" w:cs="Times New Roman"/>
          <w:color w:val="000000"/>
          <w:sz w:val="24"/>
          <w:szCs w:val="24"/>
          <w:lang w:val="uk-UA" w:eastAsia="uk-UA"/>
        </w:rPr>
        <w:t>грн</w:t>
      </w:r>
      <w:proofErr w:type="spellEnd"/>
      <w:r>
        <w:rPr>
          <w:rFonts w:ascii="Times New Roman" w:hAnsi="Times New Roman" w:cs="Times New Roman"/>
          <w:color w:val="000000"/>
          <w:sz w:val="24"/>
          <w:szCs w:val="24"/>
          <w:lang w:val="uk-UA" w:eastAsia="uk-UA"/>
        </w:rPr>
        <w:t xml:space="preserve"> Х 4).</w:t>
      </w:r>
    </w:p>
    <w:p w:rsidR="00047638" w:rsidRDefault="00047638" w:rsidP="00047638">
      <w:pPr>
        <w:spacing w:after="0" w:line="20" w:lineRule="atLeast"/>
        <w:contextualSpacing/>
        <w:rPr>
          <w:rFonts w:ascii="Times New Roman" w:hAnsi="Times New Roman" w:cs="Times New Roman"/>
          <w:sz w:val="28"/>
          <w:szCs w:val="28"/>
          <w:lang w:val="uk-UA"/>
        </w:rPr>
      </w:pPr>
    </w:p>
    <w:p w:rsidR="00047638" w:rsidRDefault="00047638" w:rsidP="00047638">
      <w:pPr>
        <w:rPr>
          <w:rFonts w:asciiTheme="minorHAnsi" w:eastAsiaTheme="minorHAnsi" w:hAnsiTheme="minorHAnsi" w:cstheme="minorBidi"/>
          <w:lang w:val="uk-UA"/>
        </w:rPr>
      </w:pPr>
    </w:p>
    <w:p w:rsidR="00047638" w:rsidRDefault="00047638" w:rsidP="00047638"/>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Default="00047638" w:rsidP="00047638">
      <w:pPr>
        <w:spacing w:after="0" w:line="20" w:lineRule="atLeast"/>
        <w:contextualSpacing/>
        <w:jc w:val="right"/>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Додаток 2 до Аналізу регуляторного впливу</w:t>
      </w:r>
    </w:p>
    <w:p w:rsidR="00047638" w:rsidRPr="00047638" w:rsidRDefault="00047638" w:rsidP="00047638">
      <w:pPr>
        <w:spacing w:after="0" w:line="20" w:lineRule="atLeast"/>
        <w:contextualSpacing/>
        <w:jc w:val="right"/>
        <w:rPr>
          <w:rFonts w:ascii="Times New Roman" w:hAnsi="Times New Roman" w:cs="Times New Roman"/>
          <w:bCs/>
          <w:sz w:val="28"/>
          <w:szCs w:val="28"/>
          <w:lang w:val="uk-UA"/>
        </w:rPr>
      </w:pPr>
    </w:p>
    <w:p w:rsidR="00047638" w:rsidRPr="00047638" w:rsidRDefault="00047638" w:rsidP="00047638">
      <w:pPr>
        <w:spacing w:after="0" w:line="20" w:lineRule="atLeast"/>
        <w:contextualSpacing/>
        <w:jc w:val="center"/>
        <w:rPr>
          <w:rFonts w:ascii="Times New Roman" w:hAnsi="Times New Roman" w:cs="Times New Roman"/>
          <w:sz w:val="28"/>
          <w:szCs w:val="28"/>
          <w:lang w:val="uk-UA"/>
        </w:rPr>
      </w:pPr>
      <w:r w:rsidRPr="00047638">
        <w:rPr>
          <w:rFonts w:ascii="Times New Roman" w:hAnsi="Times New Roman" w:cs="Times New Roman"/>
          <w:b/>
          <w:bCs/>
          <w:sz w:val="28"/>
          <w:szCs w:val="28"/>
          <w:lang w:val="uk-UA"/>
        </w:rPr>
        <w:t>БЮДЖЕТНІ ВИТРАТИ</w:t>
      </w:r>
      <w:r w:rsidRPr="00047638">
        <w:rPr>
          <w:rFonts w:ascii="Times New Roman" w:hAnsi="Times New Roman" w:cs="Times New Roman"/>
          <w:sz w:val="28"/>
          <w:szCs w:val="28"/>
          <w:lang w:val="uk-UA"/>
        </w:rPr>
        <w:br/>
      </w:r>
      <w:r w:rsidRPr="00047638">
        <w:rPr>
          <w:rFonts w:ascii="Times New Roman" w:hAnsi="Times New Roman" w:cs="Times New Roman"/>
          <w:b/>
          <w:bCs/>
          <w:sz w:val="28"/>
          <w:szCs w:val="28"/>
          <w:lang w:val="uk-UA"/>
        </w:rPr>
        <w:t>на адміністрування регулювання</w:t>
      </w:r>
    </w:p>
    <w:p w:rsidR="00047638" w:rsidRPr="00047638" w:rsidRDefault="00047638" w:rsidP="00047638">
      <w:pPr>
        <w:spacing w:after="0" w:line="20" w:lineRule="atLeast"/>
        <w:contextualSpacing/>
        <w:jc w:val="both"/>
        <w:rPr>
          <w:rFonts w:ascii="Times New Roman" w:hAnsi="Times New Roman" w:cs="Times New Roman"/>
          <w:sz w:val="28"/>
          <w:szCs w:val="28"/>
          <w:lang w:val="uk-UA"/>
        </w:rPr>
      </w:pPr>
    </w:p>
    <w:p w:rsidR="00047638" w:rsidRPr="00047638" w:rsidRDefault="00047638" w:rsidP="00047638">
      <w:pPr>
        <w:spacing w:after="0" w:line="20" w:lineRule="atLeast"/>
        <w:contextualSpacing/>
        <w:jc w:val="both"/>
        <w:rPr>
          <w:rFonts w:ascii="Times New Roman" w:hAnsi="Times New Roman" w:cs="Times New Roman"/>
          <w:sz w:val="28"/>
          <w:szCs w:val="28"/>
          <w:lang w:val="uk-UA"/>
        </w:rPr>
      </w:pPr>
      <w:r w:rsidRPr="00047638">
        <w:rPr>
          <w:rFonts w:ascii="Times New Roman" w:hAnsi="Times New Roman" w:cs="Times New Roman"/>
          <w:sz w:val="28"/>
          <w:szCs w:val="28"/>
          <w:lang w:val="uk-UA"/>
        </w:rPr>
        <w:t>Державний орган, для якого здійснюється розрахунок адміністрування регулювання:</w:t>
      </w:r>
    </w:p>
    <w:p w:rsidR="00047638" w:rsidRPr="00047638" w:rsidRDefault="00047638" w:rsidP="00047638">
      <w:pPr>
        <w:spacing w:after="0" w:line="20" w:lineRule="atLeast"/>
        <w:contextualSpacing/>
        <w:jc w:val="both"/>
        <w:rPr>
          <w:rFonts w:ascii="Times New Roman" w:hAnsi="Times New Roman" w:cs="Times New Roman"/>
          <w:sz w:val="28"/>
          <w:szCs w:val="28"/>
          <w:u w:val="single"/>
          <w:lang w:val="uk-UA"/>
        </w:rPr>
      </w:pPr>
      <w:r w:rsidRPr="00047638">
        <w:rPr>
          <w:rFonts w:ascii="Times New Roman" w:hAnsi="Times New Roman" w:cs="Times New Roman"/>
          <w:sz w:val="28"/>
          <w:szCs w:val="28"/>
          <w:u w:val="single"/>
          <w:lang w:val="uk-UA"/>
        </w:rPr>
        <w:t>Комісія з регулювання азартних ігор та лотерей</w:t>
      </w:r>
    </w:p>
    <w:p w:rsidR="00047638" w:rsidRPr="00047638" w:rsidRDefault="00047638" w:rsidP="00047638">
      <w:pPr>
        <w:spacing w:after="0" w:line="20" w:lineRule="atLeast"/>
        <w:contextualSpacing/>
        <w:jc w:val="both"/>
        <w:rPr>
          <w:rFonts w:ascii="Times New Roman" w:hAnsi="Times New Roman" w:cs="Times New Roman"/>
          <w:sz w:val="28"/>
          <w:szCs w:val="28"/>
          <w:lang w:val="uk-UA"/>
        </w:rPr>
      </w:pPr>
    </w:p>
    <w:tbl>
      <w:tblPr>
        <w:tblW w:w="5000" w:type="pct"/>
        <w:jc w:val="center"/>
        <w:tblLayout w:type="fixed"/>
        <w:tblLook w:val="04A0" w:firstRow="1" w:lastRow="0" w:firstColumn="1" w:lastColumn="0" w:noHBand="0" w:noVBand="1"/>
      </w:tblPr>
      <w:tblGrid>
        <w:gridCol w:w="2395"/>
        <w:gridCol w:w="1222"/>
        <w:gridCol w:w="1307"/>
        <w:gridCol w:w="1198"/>
        <w:gridCol w:w="1995"/>
        <w:gridCol w:w="1551"/>
      </w:tblGrid>
      <w:tr w:rsidR="00047638" w:rsidRPr="00047638" w:rsidTr="00F315A7">
        <w:trPr>
          <w:jc w:val="center"/>
        </w:trPr>
        <w:tc>
          <w:tcPr>
            <w:tcW w:w="24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047638">
            <w:pPr>
              <w:spacing w:after="0" w:line="20" w:lineRule="atLeast"/>
              <w:contextualSpacing/>
              <w:jc w:val="both"/>
              <w:rPr>
                <w:rFonts w:ascii="Times New Roman" w:hAnsi="Times New Roman" w:cs="Times New Roman"/>
                <w:b/>
                <w:bCs/>
                <w:sz w:val="24"/>
                <w:szCs w:val="24"/>
                <w:lang w:val="uk-UA"/>
              </w:rPr>
            </w:pPr>
            <w:r w:rsidRPr="00047638">
              <w:rPr>
                <w:rFonts w:ascii="Times New Roman" w:hAnsi="Times New Roman" w:cs="Times New Roman"/>
                <w:b/>
                <w:bCs/>
                <w:sz w:val="24"/>
                <w:szCs w:val="24"/>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12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047638">
            <w:pPr>
              <w:spacing w:after="0" w:line="20" w:lineRule="atLeast"/>
              <w:contextualSpacing/>
              <w:jc w:val="both"/>
              <w:rPr>
                <w:rFonts w:ascii="Times New Roman" w:hAnsi="Times New Roman" w:cs="Times New Roman"/>
                <w:b/>
                <w:bCs/>
                <w:sz w:val="24"/>
                <w:szCs w:val="24"/>
                <w:lang w:val="uk-UA"/>
              </w:rPr>
            </w:pPr>
            <w:r w:rsidRPr="00047638">
              <w:rPr>
                <w:rFonts w:ascii="Times New Roman" w:hAnsi="Times New Roman" w:cs="Times New Roman"/>
                <w:b/>
                <w:bCs/>
                <w:sz w:val="24"/>
                <w:szCs w:val="24"/>
                <w:lang w:val="uk-UA"/>
              </w:rPr>
              <w:t>Планові витрати часу на процедуру</w:t>
            </w:r>
            <w:r w:rsidRPr="00047638">
              <w:rPr>
                <w:rFonts w:ascii="Times New Roman" w:hAnsi="Times New Roman" w:cs="Times New Roman"/>
                <w:b/>
                <w:bCs/>
                <w:sz w:val="24"/>
                <w:szCs w:val="24"/>
                <w:lang w:val="uk-UA"/>
              </w:rPr>
              <w:br/>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047638">
            <w:pPr>
              <w:spacing w:after="0" w:line="20" w:lineRule="atLeast"/>
              <w:contextualSpacing/>
              <w:jc w:val="both"/>
              <w:rPr>
                <w:rFonts w:ascii="Times New Roman" w:hAnsi="Times New Roman" w:cs="Times New Roman"/>
                <w:b/>
                <w:bCs/>
                <w:sz w:val="24"/>
                <w:szCs w:val="24"/>
                <w:lang w:val="uk-UA"/>
              </w:rPr>
            </w:pPr>
            <w:r w:rsidRPr="00047638">
              <w:rPr>
                <w:rFonts w:ascii="Times New Roman" w:hAnsi="Times New Roman" w:cs="Times New Roman"/>
                <w:b/>
                <w:bCs/>
                <w:sz w:val="24"/>
                <w:szCs w:val="24"/>
                <w:lang w:val="uk-UA"/>
              </w:rPr>
              <w:t>Вартість часу співробітника органу державної влади відповідної категорії (заробітна плата)</w:t>
            </w:r>
          </w:p>
        </w:tc>
        <w:tc>
          <w:tcPr>
            <w:tcW w:w="12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047638">
            <w:pPr>
              <w:spacing w:after="0" w:line="20" w:lineRule="atLeast"/>
              <w:contextualSpacing/>
              <w:jc w:val="both"/>
              <w:rPr>
                <w:rFonts w:ascii="Times New Roman" w:hAnsi="Times New Roman" w:cs="Times New Roman"/>
                <w:b/>
                <w:bCs/>
                <w:sz w:val="24"/>
                <w:szCs w:val="24"/>
                <w:lang w:val="uk-UA"/>
              </w:rPr>
            </w:pPr>
            <w:r w:rsidRPr="00047638">
              <w:rPr>
                <w:rFonts w:ascii="Times New Roman" w:hAnsi="Times New Roman" w:cs="Times New Roman"/>
                <w:b/>
                <w:bCs/>
                <w:sz w:val="24"/>
                <w:szCs w:val="24"/>
                <w:lang w:val="uk-UA"/>
              </w:rPr>
              <w:t>Оцінка кількості процедур за рік, що припадають на одного суб’єкта</w:t>
            </w:r>
          </w:p>
        </w:tc>
        <w:tc>
          <w:tcPr>
            <w:tcW w:w="20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047638">
            <w:pPr>
              <w:spacing w:after="0" w:line="20" w:lineRule="atLeast"/>
              <w:contextualSpacing/>
              <w:jc w:val="both"/>
              <w:rPr>
                <w:rFonts w:ascii="Times New Roman" w:hAnsi="Times New Roman" w:cs="Times New Roman"/>
                <w:b/>
                <w:bCs/>
                <w:sz w:val="24"/>
                <w:szCs w:val="24"/>
                <w:lang w:val="uk-UA"/>
              </w:rPr>
            </w:pPr>
            <w:r w:rsidRPr="00047638">
              <w:rPr>
                <w:rFonts w:ascii="Times New Roman" w:hAnsi="Times New Roman" w:cs="Times New Roman"/>
                <w:b/>
                <w:bCs/>
                <w:sz w:val="24"/>
                <w:szCs w:val="24"/>
                <w:lang w:val="uk-UA"/>
              </w:rPr>
              <w:t>Оцінка кількості  суб’єктів, що підпадають під дію процедури регулювання</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047638">
            <w:pPr>
              <w:spacing w:after="0" w:line="20" w:lineRule="atLeast"/>
              <w:contextualSpacing/>
              <w:jc w:val="both"/>
              <w:rPr>
                <w:rFonts w:ascii="Times New Roman" w:hAnsi="Times New Roman" w:cs="Times New Roman"/>
                <w:b/>
                <w:bCs/>
                <w:sz w:val="24"/>
                <w:szCs w:val="24"/>
                <w:lang w:val="uk-UA"/>
              </w:rPr>
            </w:pPr>
            <w:r w:rsidRPr="00047638">
              <w:rPr>
                <w:rFonts w:ascii="Times New Roman" w:hAnsi="Times New Roman" w:cs="Times New Roman"/>
                <w:b/>
                <w:bCs/>
                <w:sz w:val="24"/>
                <w:szCs w:val="24"/>
                <w:lang w:val="uk-UA"/>
              </w:rPr>
              <w:t>Витрати на адміністрування регулювання* (за рік), гривень</w:t>
            </w:r>
          </w:p>
        </w:tc>
        <w:bookmarkStart w:id="58" w:name="_GoBack"/>
        <w:bookmarkEnd w:id="58"/>
      </w:tr>
      <w:tr w:rsidR="00047638" w:rsidRPr="00047638" w:rsidTr="00F315A7">
        <w:trPr>
          <w:jc w:val="center"/>
        </w:trPr>
        <w:tc>
          <w:tcPr>
            <w:tcW w:w="24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1. Облік суб’єкта господарювання, що перебуває у сфері регулювання</w:t>
            </w:r>
          </w:p>
        </w:tc>
        <w:tc>
          <w:tcPr>
            <w:tcW w:w="12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2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20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r>
      <w:tr w:rsidR="00047638" w:rsidRPr="00047638" w:rsidTr="00F315A7">
        <w:trPr>
          <w:jc w:val="center"/>
        </w:trPr>
        <w:tc>
          <w:tcPr>
            <w:tcW w:w="24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2. Поточний контроль за суб’єктом господарювання, що перебуває у сфері регулювання</w:t>
            </w:r>
            <w:r w:rsidRPr="00047638">
              <w:rPr>
                <w:rFonts w:ascii="Times New Roman" w:hAnsi="Times New Roman" w:cs="Times New Roman"/>
                <w:bCs/>
                <w:sz w:val="24"/>
                <w:szCs w:val="24"/>
                <w:lang w:val="uk-UA"/>
              </w:rPr>
              <w:t>*</w:t>
            </w:r>
          </w:p>
        </w:tc>
        <w:tc>
          <w:tcPr>
            <w:tcW w:w="12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2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20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r>
      <w:tr w:rsidR="00047638" w:rsidRPr="00047638" w:rsidTr="00F315A7">
        <w:trPr>
          <w:trHeight w:val="2349"/>
          <w:jc w:val="center"/>
        </w:trPr>
        <w:tc>
          <w:tcPr>
            <w:tcW w:w="24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3. Підготовка, затвердження та опрацювання одного окремого акта про порушення вимог регулювання</w:t>
            </w:r>
            <w:r w:rsidRPr="00047638">
              <w:rPr>
                <w:rFonts w:ascii="Times New Roman" w:hAnsi="Times New Roman" w:cs="Times New Roman"/>
                <w:bCs/>
                <w:sz w:val="24"/>
                <w:szCs w:val="24"/>
                <w:lang w:val="uk-UA"/>
              </w:rPr>
              <w:t>**</w:t>
            </w:r>
          </w:p>
        </w:tc>
        <w:tc>
          <w:tcPr>
            <w:tcW w:w="12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2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20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r>
      <w:tr w:rsidR="00047638" w:rsidRPr="00047638" w:rsidTr="00F315A7">
        <w:trPr>
          <w:jc w:val="center"/>
        </w:trPr>
        <w:tc>
          <w:tcPr>
            <w:tcW w:w="24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4. Реалізація одного окремого рішення щодо порушення вимог регулювання</w:t>
            </w:r>
          </w:p>
        </w:tc>
        <w:tc>
          <w:tcPr>
            <w:tcW w:w="12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2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20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r>
      <w:tr w:rsidR="00047638" w:rsidRPr="00047638" w:rsidTr="00F315A7">
        <w:trPr>
          <w:jc w:val="center"/>
        </w:trPr>
        <w:tc>
          <w:tcPr>
            <w:tcW w:w="24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5. Оскарження одного окремого рішення суб’єктами господарювання</w:t>
            </w:r>
          </w:p>
        </w:tc>
        <w:tc>
          <w:tcPr>
            <w:tcW w:w="12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2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20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r>
      <w:tr w:rsidR="00047638" w:rsidRPr="00047638" w:rsidTr="00F315A7">
        <w:trPr>
          <w:jc w:val="center"/>
        </w:trPr>
        <w:tc>
          <w:tcPr>
            <w:tcW w:w="24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6. Підготовка звітності за результатами регулювання</w:t>
            </w:r>
          </w:p>
        </w:tc>
        <w:tc>
          <w:tcPr>
            <w:tcW w:w="12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2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20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047638">
            <w:pPr>
              <w:spacing w:after="0" w:line="20" w:lineRule="atLeast"/>
              <w:contextualSpacing/>
              <w:jc w:val="both"/>
              <w:rPr>
                <w:rFonts w:ascii="Times New Roman" w:hAnsi="Times New Roman" w:cs="Times New Roman"/>
                <w:sz w:val="24"/>
                <w:szCs w:val="24"/>
                <w:lang w:val="uk-UA"/>
              </w:rPr>
            </w:pPr>
          </w:p>
        </w:tc>
      </w:tr>
    </w:tbl>
    <w:p w:rsidR="00047638" w:rsidRDefault="00047638" w:rsidP="00047638">
      <w:pPr>
        <w:spacing w:after="0" w:line="20" w:lineRule="atLeast"/>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додатка 2</w:t>
      </w:r>
    </w:p>
    <w:p w:rsidR="00047638" w:rsidRDefault="00047638" w:rsidP="00047638">
      <w:pPr>
        <w:spacing w:after="0" w:line="20" w:lineRule="atLeast"/>
        <w:contextualSpacing/>
        <w:jc w:val="right"/>
        <w:rPr>
          <w:rFonts w:ascii="Times New Roman" w:hAnsi="Times New Roman" w:cs="Times New Roman"/>
          <w:sz w:val="28"/>
          <w:szCs w:val="28"/>
          <w:lang w:val="uk-UA"/>
        </w:rPr>
      </w:pPr>
    </w:p>
    <w:tbl>
      <w:tblPr>
        <w:tblW w:w="4950" w:type="pct"/>
        <w:jc w:val="center"/>
        <w:tblLayout w:type="fixed"/>
        <w:tblLook w:val="04A0" w:firstRow="1" w:lastRow="0" w:firstColumn="1" w:lastColumn="0" w:noHBand="0" w:noVBand="1"/>
      </w:tblPr>
      <w:tblGrid>
        <w:gridCol w:w="2419"/>
        <w:gridCol w:w="1111"/>
        <w:gridCol w:w="1443"/>
        <w:gridCol w:w="1210"/>
        <w:gridCol w:w="2015"/>
        <w:gridCol w:w="1373"/>
      </w:tblGrid>
      <w:tr w:rsidR="00047638" w:rsidRPr="00047638" w:rsidTr="00741972">
        <w:trPr>
          <w:jc w:val="center"/>
        </w:trPr>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 xml:space="preserve">7. Інші адміністративні процедури </w:t>
            </w:r>
            <w:r w:rsidRPr="00047638">
              <w:rPr>
                <w:rFonts w:ascii="Times New Roman" w:hAnsi="Times New Roman" w:cs="Times New Roman"/>
                <w:bCs/>
                <w:sz w:val="24"/>
                <w:szCs w:val="24"/>
                <w:lang w:val="uk-UA"/>
              </w:rPr>
              <w:t>*</w:t>
            </w: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i/>
                <w:sz w:val="24"/>
                <w:szCs w:val="24"/>
                <w:lang w:val="uk-UA"/>
              </w:rPr>
              <w:t>7.1</w:t>
            </w:r>
            <w:r w:rsidRPr="00047638">
              <w:rPr>
                <w:rFonts w:ascii="Times New Roman" w:hAnsi="Times New Roman" w:cs="Times New Roman"/>
                <w:sz w:val="24"/>
                <w:szCs w:val="24"/>
                <w:lang w:val="uk-UA"/>
              </w:rPr>
              <w:t xml:space="preserve"> </w:t>
            </w:r>
            <w:r w:rsidRPr="00047638">
              <w:rPr>
                <w:rFonts w:ascii="Times New Roman" w:hAnsi="Times New Roman" w:cs="Times New Roman"/>
                <w:i/>
                <w:sz w:val="24"/>
                <w:szCs w:val="24"/>
                <w:lang w:val="uk-UA"/>
              </w:rPr>
              <w:t>Збір, обробка, перевірка та аналіз інформації, що міститься у звітності організаторів азартних ігор</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4</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64,02</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4</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44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45070,08</w:t>
            </w:r>
          </w:p>
        </w:tc>
      </w:tr>
      <w:tr w:rsidR="00047638" w:rsidRPr="00047638" w:rsidTr="00741972">
        <w:trPr>
          <w:jc w:val="center"/>
        </w:trPr>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Разом за рік</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Х</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Х</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Х</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Х</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tc>
      </w:tr>
      <w:tr w:rsidR="00047638" w:rsidRPr="00047638" w:rsidTr="00741972">
        <w:trPr>
          <w:jc w:val="center"/>
        </w:trPr>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Сумарно за п’ять років</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Х</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Х</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Х</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r w:rsidRPr="00047638">
              <w:rPr>
                <w:rFonts w:ascii="Times New Roman" w:hAnsi="Times New Roman" w:cs="Times New Roman"/>
                <w:sz w:val="24"/>
                <w:szCs w:val="24"/>
                <w:lang w:val="uk-UA"/>
              </w:rPr>
              <w:t>Х</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47638" w:rsidRPr="00047638" w:rsidRDefault="00047638" w:rsidP="00741972">
            <w:pPr>
              <w:spacing w:after="0" w:line="20" w:lineRule="atLeast"/>
              <w:contextualSpacing/>
              <w:jc w:val="both"/>
              <w:rPr>
                <w:rFonts w:ascii="Times New Roman" w:hAnsi="Times New Roman" w:cs="Times New Roman"/>
                <w:sz w:val="24"/>
                <w:szCs w:val="24"/>
                <w:lang w:val="uk-UA"/>
              </w:rPr>
            </w:pPr>
          </w:p>
        </w:tc>
      </w:tr>
    </w:tbl>
    <w:p w:rsidR="00047638" w:rsidRDefault="00047638" w:rsidP="00047638">
      <w:pPr>
        <w:spacing w:after="0" w:line="20" w:lineRule="atLeast"/>
        <w:contextualSpacing/>
        <w:jc w:val="both"/>
        <w:rPr>
          <w:rFonts w:ascii="Times New Roman" w:hAnsi="Times New Roman" w:cs="Times New Roman"/>
          <w:sz w:val="28"/>
          <w:szCs w:val="28"/>
          <w:lang w:val="uk-UA"/>
        </w:rPr>
      </w:pPr>
    </w:p>
    <w:p w:rsidR="00047638" w:rsidRPr="0018789A" w:rsidRDefault="00047638" w:rsidP="00047638">
      <w:pPr>
        <w:spacing w:after="0" w:line="20" w:lineRule="atLeast"/>
        <w:ind w:firstLine="708"/>
        <w:contextualSpacing/>
        <w:jc w:val="both"/>
        <w:rPr>
          <w:rFonts w:ascii="Times New Roman" w:hAnsi="Times New Roman" w:cs="Times New Roman"/>
          <w:bCs/>
          <w:sz w:val="24"/>
          <w:szCs w:val="24"/>
          <w:lang w:val="uk-UA"/>
        </w:rPr>
      </w:pPr>
      <w:r w:rsidRPr="0018789A">
        <w:rPr>
          <w:rFonts w:ascii="Times New Roman" w:hAnsi="Times New Roman" w:cs="Times New Roman"/>
          <w:bCs/>
          <w:sz w:val="24"/>
          <w:szCs w:val="24"/>
          <w:lang w:val="uk-UA"/>
        </w:rPr>
        <w:t xml:space="preserve">* Для розрахунку вартості часу співробітника КРАІЛ використано розмір посадового окладу головного спеціаліста – 10 600 грн. відповідно до Схеми посадових окладів на посадах державної служби з урахуванням категорій, </w:t>
      </w:r>
      <w:proofErr w:type="spellStart"/>
      <w:r w:rsidRPr="0018789A">
        <w:rPr>
          <w:rFonts w:ascii="Times New Roman" w:hAnsi="Times New Roman" w:cs="Times New Roman"/>
          <w:bCs/>
          <w:sz w:val="24"/>
          <w:szCs w:val="24"/>
          <w:lang w:val="uk-UA"/>
        </w:rPr>
        <w:t>підкатегорій</w:t>
      </w:r>
      <w:proofErr w:type="spellEnd"/>
      <w:r w:rsidRPr="0018789A">
        <w:rPr>
          <w:rFonts w:ascii="Times New Roman" w:hAnsi="Times New Roman" w:cs="Times New Roman"/>
          <w:bCs/>
          <w:sz w:val="24"/>
          <w:szCs w:val="24"/>
          <w:lang w:val="uk-UA"/>
        </w:rPr>
        <w:t xml:space="preserve"> та рівнів державних органів у 2021 році, затвердженої постановою Кабінету Міністрів України від 18.01.2017 № 15 (в редакції постанови Кабінету Міністрів України від 15.01.2020 р. № 16) та норму тривалості робочого часу у           2022 році, яка складає 1987 год. (середньомісячна – 165,58 год.). </w:t>
      </w:r>
    </w:p>
    <w:p w:rsidR="00047638" w:rsidRPr="0018789A" w:rsidRDefault="00047638" w:rsidP="00047638">
      <w:pPr>
        <w:spacing w:after="0" w:line="20" w:lineRule="atLeast"/>
        <w:ind w:firstLine="708"/>
        <w:contextualSpacing/>
        <w:jc w:val="both"/>
        <w:rPr>
          <w:rFonts w:ascii="Times New Roman" w:hAnsi="Times New Roman" w:cs="Times New Roman"/>
          <w:bCs/>
          <w:sz w:val="24"/>
          <w:szCs w:val="24"/>
          <w:lang w:val="uk-UA"/>
        </w:rPr>
      </w:pPr>
      <w:r w:rsidRPr="0018789A">
        <w:rPr>
          <w:rFonts w:ascii="Times New Roman" w:hAnsi="Times New Roman" w:cs="Times New Roman"/>
          <w:bCs/>
          <w:sz w:val="24"/>
          <w:szCs w:val="24"/>
          <w:lang w:val="uk-UA"/>
        </w:rPr>
        <w:t>Вартість 1 робочої години головного спеціаліста КРАІЛ – 64,02 грн.</w:t>
      </w:r>
    </w:p>
    <w:p w:rsidR="00047638" w:rsidRPr="0018789A" w:rsidRDefault="00047638" w:rsidP="00047638">
      <w:pPr>
        <w:spacing w:after="0" w:line="20" w:lineRule="atLeast"/>
        <w:ind w:firstLine="708"/>
        <w:contextualSpacing/>
        <w:jc w:val="both"/>
        <w:rPr>
          <w:rFonts w:ascii="Times New Roman" w:hAnsi="Times New Roman" w:cs="Times New Roman"/>
          <w:bCs/>
          <w:sz w:val="24"/>
          <w:szCs w:val="24"/>
          <w:lang w:val="uk-UA"/>
        </w:rPr>
      </w:pPr>
      <w:r w:rsidRPr="0018789A">
        <w:rPr>
          <w:rFonts w:ascii="Times New Roman" w:hAnsi="Times New Roman" w:cs="Times New Roman"/>
          <w:bCs/>
          <w:sz w:val="24"/>
          <w:szCs w:val="24"/>
          <w:lang w:val="uk-UA"/>
        </w:rPr>
        <w:t xml:space="preserve">Витрати часу фахівця на проведення збору, обробки, перевірки та аналізу інформації, що міститься у звітності 1-го організатора азартних ігор орієнтовно складуть 4 год. </w:t>
      </w:r>
    </w:p>
    <w:p w:rsidR="00047638" w:rsidRPr="0018789A" w:rsidRDefault="00047638" w:rsidP="00047638">
      <w:pPr>
        <w:spacing w:after="0" w:line="20" w:lineRule="atLeast"/>
        <w:ind w:firstLine="708"/>
        <w:contextualSpacing/>
        <w:jc w:val="both"/>
        <w:rPr>
          <w:rFonts w:ascii="Times New Roman" w:hAnsi="Times New Roman" w:cs="Times New Roman"/>
          <w:sz w:val="24"/>
          <w:szCs w:val="24"/>
          <w:lang w:val="uk-UA"/>
        </w:rPr>
      </w:pPr>
      <w:r w:rsidRPr="0018789A">
        <w:rPr>
          <w:rFonts w:ascii="Times New Roman" w:hAnsi="Times New Roman" w:cs="Times New Roman"/>
          <w:sz w:val="24"/>
          <w:szCs w:val="24"/>
          <w:lang w:val="uk-UA"/>
        </w:rPr>
        <w:t>Проектом рішення встановлюється, що звітність подається організатором азартних ігор до КРАІЛ  щокварталу (тобто чотири рази на рік).</w:t>
      </w:r>
    </w:p>
    <w:p w:rsidR="00047638" w:rsidRPr="0018789A" w:rsidRDefault="00047638" w:rsidP="00047638">
      <w:pPr>
        <w:spacing w:after="0" w:line="20" w:lineRule="atLeast"/>
        <w:ind w:firstLine="708"/>
        <w:contextualSpacing/>
        <w:jc w:val="both"/>
        <w:rPr>
          <w:rFonts w:ascii="Times New Roman" w:hAnsi="Times New Roman" w:cs="Times New Roman"/>
          <w:bCs/>
          <w:sz w:val="24"/>
          <w:szCs w:val="24"/>
          <w:lang w:val="uk-UA"/>
        </w:rPr>
      </w:pPr>
      <w:r w:rsidRPr="0018789A">
        <w:rPr>
          <w:rFonts w:ascii="Times New Roman" w:hAnsi="Times New Roman" w:cs="Times New Roman"/>
          <w:bCs/>
          <w:sz w:val="24"/>
          <w:szCs w:val="24"/>
          <w:lang w:val="uk-UA"/>
        </w:rPr>
        <w:t xml:space="preserve">Планується, що протягом року фахівець КРАІЛ буде здійснювати збір, обробку, перевірку та аналіз інформації, що міститься у звітності 43-х організаторів азартних ігор. </w:t>
      </w:r>
    </w:p>
    <w:p w:rsidR="00047638" w:rsidRPr="00047638" w:rsidRDefault="00047638" w:rsidP="00047638">
      <w:pPr>
        <w:spacing w:after="0" w:line="20" w:lineRule="atLeast"/>
        <w:contextualSpacing/>
        <w:jc w:val="both"/>
        <w:rPr>
          <w:rFonts w:ascii="Times New Roman" w:hAnsi="Times New Roman" w:cs="Times New Roman"/>
          <w:sz w:val="28"/>
          <w:szCs w:val="28"/>
          <w:lang w:val="uk-UA"/>
        </w:rPr>
      </w:pPr>
    </w:p>
    <w:sectPr w:rsidR="00047638" w:rsidRPr="00047638" w:rsidSect="0018789A">
      <w:headerReference w:type="default" r:id="rId15"/>
      <w:pgSz w:w="11906" w:h="16838"/>
      <w:pgMar w:top="1134" w:right="567" w:bottom="1701" w:left="1701" w:header="709" w:footer="720" w:gutter="0"/>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D5" w:rsidRDefault="00D92BD5">
      <w:pPr>
        <w:spacing w:after="0" w:line="240" w:lineRule="auto"/>
      </w:pPr>
      <w:r>
        <w:separator/>
      </w:r>
    </w:p>
  </w:endnote>
  <w:endnote w:type="continuationSeparator" w:id="0">
    <w:p w:rsidR="00D92BD5" w:rsidRDefault="00D9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ont34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D5" w:rsidRDefault="00D92BD5">
      <w:pPr>
        <w:spacing w:after="0" w:line="240" w:lineRule="auto"/>
      </w:pPr>
      <w:r>
        <w:separator/>
      </w:r>
    </w:p>
  </w:footnote>
  <w:footnote w:type="continuationSeparator" w:id="0">
    <w:p w:rsidR="00D92BD5" w:rsidRDefault="00D92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BD5" w:rsidRPr="00047638" w:rsidRDefault="00D92BD5">
    <w:pPr>
      <w:pStyle w:val="a5"/>
      <w:jc w:val="center"/>
      <w:rPr>
        <w:sz w:val="28"/>
        <w:szCs w:val="28"/>
      </w:rPr>
    </w:pPr>
    <w:r w:rsidRPr="00047638">
      <w:rPr>
        <w:sz w:val="28"/>
        <w:szCs w:val="28"/>
      </w:rPr>
      <w:fldChar w:fldCharType="begin"/>
    </w:r>
    <w:r w:rsidRPr="00047638">
      <w:rPr>
        <w:sz w:val="28"/>
        <w:szCs w:val="28"/>
      </w:rPr>
      <w:instrText xml:space="preserve"> PAGE </w:instrText>
    </w:r>
    <w:r w:rsidRPr="00047638">
      <w:rPr>
        <w:sz w:val="28"/>
        <w:szCs w:val="28"/>
      </w:rPr>
      <w:fldChar w:fldCharType="separate"/>
    </w:r>
    <w:r w:rsidR="00F315A7">
      <w:rPr>
        <w:noProof/>
        <w:sz w:val="28"/>
        <w:szCs w:val="28"/>
      </w:rPr>
      <w:t>18</w:t>
    </w:r>
    <w:r w:rsidRPr="00047638">
      <w:rPr>
        <w:sz w:val="28"/>
        <w:szCs w:val="28"/>
      </w:rPr>
      <w:fldChar w:fldCharType="end"/>
    </w:r>
  </w:p>
  <w:p w:rsidR="00D92BD5" w:rsidRDefault="00D92BD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2FC"/>
    <w:multiLevelType w:val="hybridMultilevel"/>
    <w:tmpl w:val="037C19E8"/>
    <w:lvl w:ilvl="0" w:tplc="20000001">
      <w:start w:val="1"/>
      <w:numFmt w:val="bullet"/>
      <w:lvlText w:val=""/>
      <w:lvlJc w:val="left"/>
      <w:pPr>
        <w:ind w:left="867" w:hanging="360"/>
      </w:pPr>
      <w:rPr>
        <w:rFonts w:ascii="Symbol" w:hAnsi="Symbol" w:hint="default"/>
      </w:rPr>
    </w:lvl>
    <w:lvl w:ilvl="1" w:tplc="20000003" w:tentative="1">
      <w:start w:val="1"/>
      <w:numFmt w:val="bullet"/>
      <w:lvlText w:val="o"/>
      <w:lvlJc w:val="left"/>
      <w:pPr>
        <w:ind w:left="1587" w:hanging="360"/>
      </w:pPr>
      <w:rPr>
        <w:rFonts w:ascii="Courier New" w:hAnsi="Courier New" w:cs="Courier New" w:hint="default"/>
      </w:rPr>
    </w:lvl>
    <w:lvl w:ilvl="2" w:tplc="20000005" w:tentative="1">
      <w:start w:val="1"/>
      <w:numFmt w:val="bullet"/>
      <w:lvlText w:val=""/>
      <w:lvlJc w:val="left"/>
      <w:pPr>
        <w:ind w:left="2307" w:hanging="360"/>
      </w:pPr>
      <w:rPr>
        <w:rFonts w:ascii="Wingdings" w:hAnsi="Wingdings" w:hint="default"/>
      </w:rPr>
    </w:lvl>
    <w:lvl w:ilvl="3" w:tplc="20000001" w:tentative="1">
      <w:start w:val="1"/>
      <w:numFmt w:val="bullet"/>
      <w:lvlText w:val=""/>
      <w:lvlJc w:val="left"/>
      <w:pPr>
        <w:ind w:left="3027" w:hanging="360"/>
      </w:pPr>
      <w:rPr>
        <w:rFonts w:ascii="Symbol" w:hAnsi="Symbol" w:hint="default"/>
      </w:rPr>
    </w:lvl>
    <w:lvl w:ilvl="4" w:tplc="20000003" w:tentative="1">
      <w:start w:val="1"/>
      <w:numFmt w:val="bullet"/>
      <w:lvlText w:val="o"/>
      <w:lvlJc w:val="left"/>
      <w:pPr>
        <w:ind w:left="3747" w:hanging="360"/>
      </w:pPr>
      <w:rPr>
        <w:rFonts w:ascii="Courier New" w:hAnsi="Courier New" w:cs="Courier New" w:hint="default"/>
      </w:rPr>
    </w:lvl>
    <w:lvl w:ilvl="5" w:tplc="20000005" w:tentative="1">
      <w:start w:val="1"/>
      <w:numFmt w:val="bullet"/>
      <w:lvlText w:val=""/>
      <w:lvlJc w:val="left"/>
      <w:pPr>
        <w:ind w:left="4467" w:hanging="360"/>
      </w:pPr>
      <w:rPr>
        <w:rFonts w:ascii="Wingdings" w:hAnsi="Wingdings" w:hint="default"/>
      </w:rPr>
    </w:lvl>
    <w:lvl w:ilvl="6" w:tplc="20000001" w:tentative="1">
      <w:start w:val="1"/>
      <w:numFmt w:val="bullet"/>
      <w:lvlText w:val=""/>
      <w:lvlJc w:val="left"/>
      <w:pPr>
        <w:ind w:left="5187" w:hanging="360"/>
      </w:pPr>
      <w:rPr>
        <w:rFonts w:ascii="Symbol" w:hAnsi="Symbol" w:hint="default"/>
      </w:rPr>
    </w:lvl>
    <w:lvl w:ilvl="7" w:tplc="20000003" w:tentative="1">
      <w:start w:val="1"/>
      <w:numFmt w:val="bullet"/>
      <w:lvlText w:val="o"/>
      <w:lvlJc w:val="left"/>
      <w:pPr>
        <w:ind w:left="5907" w:hanging="360"/>
      </w:pPr>
      <w:rPr>
        <w:rFonts w:ascii="Courier New" w:hAnsi="Courier New" w:cs="Courier New" w:hint="default"/>
      </w:rPr>
    </w:lvl>
    <w:lvl w:ilvl="8" w:tplc="20000005" w:tentative="1">
      <w:start w:val="1"/>
      <w:numFmt w:val="bullet"/>
      <w:lvlText w:val=""/>
      <w:lvlJc w:val="left"/>
      <w:pPr>
        <w:ind w:left="6627" w:hanging="360"/>
      </w:pPr>
      <w:rPr>
        <w:rFonts w:ascii="Wingdings" w:hAnsi="Wingdings" w:hint="default"/>
      </w:rPr>
    </w:lvl>
  </w:abstractNum>
  <w:abstractNum w:abstractNumId="1">
    <w:nsid w:val="166015B1"/>
    <w:multiLevelType w:val="hybridMultilevel"/>
    <w:tmpl w:val="D2245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18396CAC"/>
    <w:multiLevelType w:val="hybridMultilevel"/>
    <w:tmpl w:val="84D8E6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E2A6C1F"/>
    <w:multiLevelType w:val="hybridMultilevel"/>
    <w:tmpl w:val="5BD2008E"/>
    <w:lvl w:ilvl="0" w:tplc="2000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905B8B"/>
    <w:multiLevelType w:val="hybridMultilevel"/>
    <w:tmpl w:val="7B5AA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58B4C53"/>
    <w:multiLevelType w:val="hybridMultilevel"/>
    <w:tmpl w:val="A5589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FB41FF"/>
    <w:multiLevelType w:val="hybridMultilevel"/>
    <w:tmpl w:val="45505E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24339AD"/>
    <w:multiLevelType w:val="hybridMultilevel"/>
    <w:tmpl w:val="CCC4FFD8"/>
    <w:lvl w:ilvl="0" w:tplc="20000001">
      <w:start w:val="1"/>
      <w:numFmt w:val="bullet"/>
      <w:lvlText w:val=""/>
      <w:lvlJc w:val="left"/>
      <w:pPr>
        <w:ind w:left="854" w:hanging="360"/>
      </w:pPr>
      <w:rPr>
        <w:rFonts w:ascii="Symbol" w:hAnsi="Symbol" w:hint="default"/>
      </w:rPr>
    </w:lvl>
    <w:lvl w:ilvl="1" w:tplc="20000003" w:tentative="1">
      <w:start w:val="1"/>
      <w:numFmt w:val="bullet"/>
      <w:lvlText w:val="o"/>
      <w:lvlJc w:val="left"/>
      <w:pPr>
        <w:ind w:left="1574" w:hanging="360"/>
      </w:pPr>
      <w:rPr>
        <w:rFonts w:ascii="Courier New" w:hAnsi="Courier New" w:cs="Courier New" w:hint="default"/>
      </w:rPr>
    </w:lvl>
    <w:lvl w:ilvl="2" w:tplc="20000005" w:tentative="1">
      <w:start w:val="1"/>
      <w:numFmt w:val="bullet"/>
      <w:lvlText w:val=""/>
      <w:lvlJc w:val="left"/>
      <w:pPr>
        <w:ind w:left="2294" w:hanging="360"/>
      </w:pPr>
      <w:rPr>
        <w:rFonts w:ascii="Wingdings" w:hAnsi="Wingdings" w:hint="default"/>
      </w:rPr>
    </w:lvl>
    <w:lvl w:ilvl="3" w:tplc="20000001" w:tentative="1">
      <w:start w:val="1"/>
      <w:numFmt w:val="bullet"/>
      <w:lvlText w:val=""/>
      <w:lvlJc w:val="left"/>
      <w:pPr>
        <w:ind w:left="3014" w:hanging="360"/>
      </w:pPr>
      <w:rPr>
        <w:rFonts w:ascii="Symbol" w:hAnsi="Symbol" w:hint="default"/>
      </w:rPr>
    </w:lvl>
    <w:lvl w:ilvl="4" w:tplc="20000003" w:tentative="1">
      <w:start w:val="1"/>
      <w:numFmt w:val="bullet"/>
      <w:lvlText w:val="o"/>
      <w:lvlJc w:val="left"/>
      <w:pPr>
        <w:ind w:left="3734" w:hanging="360"/>
      </w:pPr>
      <w:rPr>
        <w:rFonts w:ascii="Courier New" w:hAnsi="Courier New" w:cs="Courier New" w:hint="default"/>
      </w:rPr>
    </w:lvl>
    <w:lvl w:ilvl="5" w:tplc="20000005" w:tentative="1">
      <w:start w:val="1"/>
      <w:numFmt w:val="bullet"/>
      <w:lvlText w:val=""/>
      <w:lvlJc w:val="left"/>
      <w:pPr>
        <w:ind w:left="4454" w:hanging="360"/>
      </w:pPr>
      <w:rPr>
        <w:rFonts w:ascii="Wingdings" w:hAnsi="Wingdings" w:hint="default"/>
      </w:rPr>
    </w:lvl>
    <w:lvl w:ilvl="6" w:tplc="20000001" w:tentative="1">
      <w:start w:val="1"/>
      <w:numFmt w:val="bullet"/>
      <w:lvlText w:val=""/>
      <w:lvlJc w:val="left"/>
      <w:pPr>
        <w:ind w:left="5174" w:hanging="360"/>
      </w:pPr>
      <w:rPr>
        <w:rFonts w:ascii="Symbol" w:hAnsi="Symbol" w:hint="default"/>
      </w:rPr>
    </w:lvl>
    <w:lvl w:ilvl="7" w:tplc="20000003" w:tentative="1">
      <w:start w:val="1"/>
      <w:numFmt w:val="bullet"/>
      <w:lvlText w:val="o"/>
      <w:lvlJc w:val="left"/>
      <w:pPr>
        <w:ind w:left="5894" w:hanging="360"/>
      </w:pPr>
      <w:rPr>
        <w:rFonts w:ascii="Courier New" w:hAnsi="Courier New" w:cs="Courier New" w:hint="default"/>
      </w:rPr>
    </w:lvl>
    <w:lvl w:ilvl="8" w:tplc="20000005" w:tentative="1">
      <w:start w:val="1"/>
      <w:numFmt w:val="bullet"/>
      <w:lvlText w:val=""/>
      <w:lvlJc w:val="left"/>
      <w:pPr>
        <w:ind w:left="6614" w:hanging="360"/>
      </w:pPr>
      <w:rPr>
        <w:rFonts w:ascii="Wingdings" w:hAnsi="Wingdings" w:hint="default"/>
      </w:rPr>
    </w:lvl>
  </w:abstractNum>
  <w:abstractNum w:abstractNumId="8">
    <w:nsid w:val="6A3E23C1"/>
    <w:multiLevelType w:val="hybridMultilevel"/>
    <w:tmpl w:val="C11E4F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73002243"/>
    <w:multiLevelType w:val="hybridMultilevel"/>
    <w:tmpl w:val="460834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74C1659B"/>
    <w:multiLevelType w:val="hybridMultilevel"/>
    <w:tmpl w:val="7ECA9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7"/>
  </w:num>
  <w:num w:numId="5">
    <w:abstractNumId w:val="8"/>
  </w:num>
  <w:num w:numId="6">
    <w:abstractNumId w:val="1"/>
  </w:num>
  <w:num w:numId="7">
    <w:abstractNumId w:val="4"/>
  </w:num>
  <w:num w:numId="8">
    <w:abstractNumId w:val="6"/>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E6"/>
    <w:rsid w:val="0001708D"/>
    <w:rsid w:val="00046AD4"/>
    <w:rsid w:val="00047638"/>
    <w:rsid w:val="00051560"/>
    <w:rsid w:val="00055157"/>
    <w:rsid w:val="00066B25"/>
    <w:rsid w:val="00091861"/>
    <w:rsid w:val="000B0893"/>
    <w:rsid w:val="000B4534"/>
    <w:rsid w:val="000B52E3"/>
    <w:rsid w:val="000E5151"/>
    <w:rsid w:val="000E66DA"/>
    <w:rsid w:val="0012401B"/>
    <w:rsid w:val="0013158E"/>
    <w:rsid w:val="00136910"/>
    <w:rsid w:val="00155C5C"/>
    <w:rsid w:val="001612A9"/>
    <w:rsid w:val="001703E1"/>
    <w:rsid w:val="00170BFA"/>
    <w:rsid w:val="0018789A"/>
    <w:rsid w:val="001B0DD2"/>
    <w:rsid w:val="001B44F4"/>
    <w:rsid w:val="001C5DC4"/>
    <w:rsid w:val="001D5FF7"/>
    <w:rsid w:val="001E6347"/>
    <w:rsid w:val="001F0BA9"/>
    <w:rsid w:val="001F6889"/>
    <w:rsid w:val="002045DA"/>
    <w:rsid w:val="00211A29"/>
    <w:rsid w:val="0023421D"/>
    <w:rsid w:val="00247DA9"/>
    <w:rsid w:val="002525FA"/>
    <w:rsid w:val="0027639A"/>
    <w:rsid w:val="00280BA0"/>
    <w:rsid w:val="00294BE8"/>
    <w:rsid w:val="002A03E5"/>
    <w:rsid w:val="002A2FBD"/>
    <w:rsid w:val="002B12AC"/>
    <w:rsid w:val="002B18E4"/>
    <w:rsid w:val="002B49D0"/>
    <w:rsid w:val="002B57DA"/>
    <w:rsid w:val="002E4A6E"/>
    <w:rsid w:val="0030702E"/>
    <w:rsid w:val="00321133"/>
    <w:rsid w:val="003246BA"/>
    <w:rsid w:val="00326148"/>
    <w:rsid w:val="00340468"/>
    <w:rsid w:val="003426CB"/>
    <w:rsid w:val="00347CCE"/>
    <w:rsid w:val="00360EC1"/>
    <w:rsid w:val="00362E66"/>
    <w:rsid w:val="0038026E"/>
    <w:rsid w:val="00395127"/>
    <w:rsid w:val="00396C9E"/>
    <w:rsid w:val="003E7AFC"/>
    <w:rsid w:val="003F0EB7"/>
    <w:rsid w:val="00404A19"/>
    <w:rsid w:val="00413430"/>
    <w:rsid w:val="00426C00"/>
    <w:rsid w:val="00446D14"/>
    <w:rsid w:val="00451957"/>
    <w:rsid w:val="00466185"/>
    <w:rsid w:val="004741BC"/>
    <w:rsid w:val="004A4E13"/>
    <w:rsid w:val="004A4E71"/>
    <w:rsid w:val="004B0920"/>
    <w:rsid w:val="004B28DC"/>
    <w:rsid w:val="004F0064"/>
    <w:rsid w:val="005059BA"/>
    <w:rsid w:val="00507FE4"/>
    <w:rsid w:val="00523DD9"/>
    <w:rsid w:val="005251DE"/>
    <w:rsid w:val="00553E81"/>
    <w:rsid w:val="00564650"/>
    <w:rsid w:val="005717D1"/>
    <w:rsid w:val="00571A7A"/>
    <w:rsid w:val="005B1465"/>
    <w:rsid w:val="005F6D03"/>
    <w:rsid w:val="00600A3B"/>
    <w:rsid w:val="006014D0"/>
    <w:rsid w:val="00607D65"/>
    <w:rsid w:val="00623B32"/>
    <w:rsid w:val="00664DFD"/>
    <w:rsid w:val="0067114C"/>
    <w:rsid w:val="00676E69"/>
    <w:rsid w:val="00680340"/>
    <w:rsid w:val="00682BA1"/>
    <w:rsid w:val="00684B26"/>
    <w:rsid w:val="006C1755"/>
    <w:rsid w:val="006C6CF7"/>
    <w:rsid w:val="00706D43"/>
    <w:rsid w:val="007253E6"/>
    <w:rsid w:val="00727473"/>
    <w:rsid w:val="00744397"/>
    <w:rsid w:val="0074578B"/>
    <w:rsid w:val="00753012"/>
    <w:rsid w:val="00763188"/>
    <w:rsid w:val="00775499"/>
    <w:rsid w:val="00775E5F"/>
    <w:rsid w:val="00782A6E"/>
    <w:rsid w:val="00793102"/>
    <w:rsid w:val="007A7D38"/>
    <w:rsid w:val="007C57DF"/>
    <w:rsid w:val="007D067F"/>
    <w:rsid w:val="007F0872"/>
    <w:rsid w:val="008022A9"/>
    <w:rsid w:val="008150F7"/>
    <w:rsid w:val="008203CA"/>
    <w:rsid w:val="00833E5F"/>
    <w:rsid w:val="008340E0"/>
    <w:rsid w:val="00843E11"/>
    <w:rsid w:val="00857720"/>
    <w:rsid w:val="0086712C"/>
    <w:rsid w:val="008675A9"/>
    <w:rsid w:val="0087424C"/>
    <w:rsid w:val="00883B12"/>
    <w:rsid w:val="00887471"/>
    <w:rsid w:val="008911DC"/>
    <w:rsid w:val="008A0CA7"/>
    <w:rsid w:val="008A6476"/>
    <w:rsid w:val="008B0D84"/>
    <w:rsid w:val="008C6C4F"/>
    <w:rsid w:val="008E78B6"/>
    <w:rsid w:val="009061A2"/>
    <w:rsid w:val="0092197F"/>
    <w:rsid w:val="009462C8"/>
    <w:rsid w:val="00964A17"/>
    <w:rsid w:val="00965BD4"/>
    <w:rsid w:val="009711B8"/>
    <w:rsid w:val="009772B5"/>
    <w:rsid w:val="009B5075"/>
    <w:rsid w:val="009D1502"/>
    <w:rsid w:val="009E69F0"/>
    <w:rsid w:val="00A35376"/>
    <w:rsid w:val="00A80A62"/>
    <w:rsid w:val="00A9087A"/>
    <w:rsid w:val="00A9232A"/>
    <w:rsid w:val="00AA74DB"/>
    <w:rsid w:val="00AB46DF"/>
    <w:rsid w:val="00AC1B5F"/>
    <w:rsid w:val="00AD3797"/>
    <w:rsid w:val="00B1769C"/>
    <w:rsid w:val="00B42B3B"/>
    <w:rsid w:val="00B45F81"/>
    <w:rsid w:val="00B46266"/>
    <w:rsid w:val="00B54722"/>
    <w:rsid w:val="00B62C7A"/>
    <w:rsid w:val="00B6449D"/>
    <w:rsid w:val="00B71E2E"/>
    <w:rsid w:val="00B74F1C"/>
    <w:rsid w:val="00B7542B"/>
    <w:rsid w:val="00B82DE0"/>
    <w:rsid w:val="00B9551B"/>
    <w:rsid w:val="00BB0314"/>
    <w:rsid w:val="00BB5B2E"/>
    <w:rsid w:val="00BC1B48"/>
    <w:rsid w:val="00BC303A"/>
    <w:rsid w:val="00BE6DAE"/>
    <w:rsid w:val="00BF1556"/>
    <w:rsid w:val="00BF4C98"/>
    <w:rsid w:val="00C36AD3"/>
    <w:rsid w:val="00C45A85"/>
    <w:rsid w:val="00C5240D"/>
    <w:rsid w:val="00C52986"/>
    <w:rsid w:val="00C84274"/>
    <w:rsid w:val="00C90730"/>
    <w:rsid w:val="00C93428"/>
    <w:rsid w:val="00C974DF"/>
    <w:rsid w:val="00CA0AC4"/>
    <w:rsid w:val="00CA66B2"/>
    <w:rsid w:val="00CC2EDE"/>
    <w:rsid w:val="00CC6A67"/>
    <w:rsid w:val="00CF00DE"/>
    <w:rsid w:val="00CF31CD"/>
    <w:rsid w:val="00D21B3F"/>
    <w:rsid w:val="00D55C49"/>
    <w:rsid w:val="00D73296"/>
    <w:rsid w:val="00D92BD5"/>
    <w:rsid w:val="00DA1FE6"/>
    <w:rsid w:val="00DB0237"/>
    <w:rsid w:val="00DB471D"/>
    <w:rsid w:val="00DD1034"/>
    <w:rsid w:val="00DD4468"/>
    <w:rsid w:val="00DD7755"/>
    <w:rsid w:val="00DF3859"/>
    <w:rsid w:val="00E0530E"/>
    <w:rsid w:val="00E75B3D"/>
    <w:rsid w:val="00EA1E79"/>
    <w:rsid w:val="00EA386E"/>
    <w:rsid w:val="00EA5FFC"/>
    <w:rsid w:val="00EC3200"/>
    <w:rsid w:val="00ED7BA7"/>
    <w:rsid w:val="00EF30A9"/>
    <w:rsid w:val="00F04FB5"/>
    <w:rsid w:val="00F12985"/>
    <w:rsid w:val="00F315A7"/>
    <w:rsid w:val="00F36524"/>
    <w:rsid w:val="00F4338E"/>
    <w:rsid w:val="00F55653"/>
    <w:rsid w:val="00F7175B"/>
    <w:rsid w:val="00F73B08"/>
    <w:rsid w:val="00F91EB8"/>
    <w:rsid w:val="00FD35E4"/>
    <w:rsid w:val="00FF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E6"/>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253E6"/>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7253E6"/>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7253E6"/>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rsid w:val="007253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7253E6"/>
    <w:rPr>
      <w:rFonts w:ascii="Times New Roman" w:eastAsia="Times New Roman" w:hAnsi="Times New Roman" w:cs="Times New Roman"/>
      <w:sz w:val="24"/>
      <w:szCs w:val="24"/>
      <w:lang w:eastAsia="ru-RU"/>
    </w:rPr>
  </w:style>
  <w:style w:type="paragraph" w:customStyle="1" w:styleId="rvps2">
    <w:name w:val="rvps2"/>
    <w:basedOn w:val="a"/>
    <w:rsid w:val="007253E6"/>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7253E6"/>
    <w:pPr>
      <w:ind w:left="720"/>
      <w:contextualSpacing/>
    </w:pPr>
    <w:rPr>
      <w:lang w:val="uk-UA"/>
    </w:rPr>
  </w:style>
  <w:style w:type="paragraph" w:customStyle="1" w:styleId="rvps12">
    <w:name w:val="rvps12"/>
    <w:basedOn w:val="a"/>
    <w:rsid w:val="007253E6"/>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7253E6"/>
    <w:pPr>
      <w:spacing w:before="280" w:after="280" w:line="240" w:lineRule="auto"/>
    </w:pPr>
    <w:rPr>
      <w:rFonts w:ascii="Times New Roman" w:eastAsia="Times New Roman" w:hAnsi="Times New Roman" w:cs="Times New Roman"/>
      <w:sz w:val="24"/>
      <w:szCs w:val="24"/>
      <w:lang w:eastAsia="ru-RU"/>
    </w:rPr>
  </w:style>
  <w:style w:type="paragraph" w:customStyle="1" w:styleId="tj">
    <w:name w:val="tj"/>
    <w:basedOn w:val="a"/>
    <w:rsid w:val="007253E6"/>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7253E6"/>
    <w:rPr>
      <w:color w:val="0000FF"/>
      <w:u w:val="single"/>
    </w:rPr>
  </w:style>
  <w:style w:type="paragraph" w:styleId="a8">
    <w:name w:val="List Paragraph"/>
    <w:basedOn w:val="a"/>
    <w:uiPriority w:val="34"/>
    <w:qFormat/>
    <w:rsid w:val="007253E6"/>
    <w:pPr>
      <w:ind w:left="720"/>
      <w:contextualSpacing/>
    </w:pPr>
  </w:style>
  <w:style w:type="character" w:customStyle="1" w:styleId="rvts23">
    <w:name w:val="rvts23"/>
    <w:basedOn w:val="a0"/>
    <w:qFormat/>
    <w:rsid w:val="007253E6"/>
    <w:rPr>
      <w:rFonts w:cs="Times New Roman"/>
    </w:rPr>
  </w:style>
  <w:style w:type="character" w:customStyle="1" w:styleId="rvts9">
    <w:name w:val="rvts9"/>
    <w:basedOn w:val="a0"/>
    <w:qFormat/>
    <w:rsid w:val="007253E6"/>
    <w:rPr>
      <w:rFonts w:cs="Times New Roman"/>
    </w:rPr>
  </w:style>
  <w:style w:type="character" w:customStyle="1" w:styleId="-">
    <w:name w:val="Интернет-ссылка"/>
    <w:basedOn w:val="a0"/>
    <w:uiPriority w:val="99"/>
    <w:semiHidden/>
    <w:qFormat/>
    <w:rsid w:val="007253E6"/>
    <w:rPr>
      <w:rFonts w:cs="Times New Roman"/>
      <w:color w:val="0000FF"/>
      <w:u w:val="single"/>
    </w:rPr>
  </w:style>
  <w:style w:type="paragraph" w:customStyle="1" w:styleId="rvps7">
    <w:name w:val="rvps7"/>
    <w:basedOn w:val="a"/>
    <w:rsid w:val="005B14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5B14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744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000000"/>
      <w:sz w:val="21"/>
      <w:szCs w:val="21"/>
      <w:lang w:val="uk-UA" w:eastAsia="ru-RU"/>
    </w:rPr>
  </w:style>
  <w:style w:type="character" w:customStyle="1" w:styleId="HTML0">
    <w:name w:val="Стандартный HTML Знак"/>
    <w:basedOn w:val="a0"/>
    <w:link w:val="HTML"/>
    <w:rsid w:val="00744397"/>
    <w:rPr>
      <w:rFonts w:ascii="Courier New" w:eastAsia="Times New Roman" w:hAnsi="Courier New" w:cs="Courier New"/>
      <w:color w:val="000000"/>
      <w:sz w:val="21"/>
      <w:szCs w:val="21"/>
      <w:lang w:val="uk-UA" w:eastAsia="ru-RU"/>
    </w:rPr>
  </w:style>
  <w:style w:type="paragraph" w:customStyle="1" w:styleId="rvps17">
    <w:name w:val="rvps17"/>
    <w:basedOn w:val="a"/>
    <w:rsid w:val="00EC320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EC3200"/>
  </w:style>
  <w:style w:type="character" w:customStyle="1" w:styleId="rvts15">
    <w:name w:val="rvts15"/>
    <w:basedOn w:val="a0"/>
    <w:rsid w:val="00EC3200"/>
  </w:style>
  <w:style w:type="paragraph" w:styleId="a9">
    <w:name w:val="Balloon Text"/>
    <w:basedOn w:val="a"/>
    <w:link w:val="aa"/>
    <w:uiPriority w:val="99"/>
    <w:semiHidden/>
    <w:unhideWhenUsed/>
    <w:rsid w:val="00EC32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3200"/>
    <w:rPr>
      <w:rFonts w:ascii="Tahoma" w:eastAsia="Calibri" w:hAnsi="Tahoma" w:cs="Tahoma"/>
      <w:sz w:val="16"/>
      <w:szCs w:val="16"/>
    </w:rPr>
  </w:style>
  <w:style w:type="paragraph" w:styleId="ab">
    <w:name w:val="footer"/>
    <w:basedOn w:val="a"/>
    <w:link w:val="ac"/>
    <w:uiPriority w:val="99"/>
    <w:unhideWhenUsed/>
    <w:rsid w:val="0004763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7638"/>
    <w:rPr>
      <w:rFonts w:ascii="Calibri" w:eastAsia="Calibri" w:hAnsi="Calibri" w:cs="font34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E6"/>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253E6"/>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7253E6"/>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7253E6"/>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rsid w:val="007253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7253E6"/>
    <w:rPr>
      <w:rFonts w:ascii="Times New Roman" w:eastAsia="Times New Roman" w:hAnsi="Times New Roman" w:cs="Times New Roman"/>
      <w:sz w:val="24"/>
      <w:szCs w:val="24"/>
      <w:lang w:eastAsia="ru-RU"/>
    </w:rPr>
  </w:style>
  <w:style w:type="paragraph" w:customStyle="1" w:styleId="rvps2">
    <w:name w:val="rvps2"/>
    <w:basedOn w:val="a"/>
    <w:rsid w:val="007253E6"/>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7253E6"/>
    <w:pPr>
      <w:ind w:left="720"/>
      <w:contextualSpacing/>
    </w:pPr>
    <w:rPr>
      <w:lang w:val="uk-UA"/>
    </w:rPr>
  </w:style>
  <w:style w:type="paragraph" w:customStyle="1" w:styleId="rvps12">
    <w:name w:val="rvps12"/>
    <w:basedOn w:val="a"/>
    <w:rsid w:val="007253E6"/>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7253E6"/>
    <w:pPr>
      <w:spacing w:before="280" w:after="280" w:line="240" w:lineRule="auto"/>
    </w:pPr>
    <w:rPr>
      <w:rFonts w:ascii="Times New Roman" w:eastAsia="Times New Roman" w:hAnsi="Times New Roman" w:cs="Times New Roman"/>
      <w:sz w:val="24"/>
      <w:szCs w:val="24"/>
      <w:lang w:eastAsia="ru-RU"/>
    </w:rPr>
  </w:style>
  <w:style w:type="paragraph" w:customStyle="1" w:styleId="tj">
    <w:name w:val="tj"/>
    <w:basedOn w:val="a"/>
    <w:rsid w:val="007253E6"/>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7253E6"/>
    <w:rPr>
      <w:color w:val="0000FF"/>
      <w:u w:val="single"/>
    </w:rPr>
  </w:style>
  <w:style w:type="paragraph" w:styleId="a8">
    <w:name w:val="List Paragraph"/>
    <w:basedOn w:val="a"/>
    <w:uiPriority w:val="34"/>
    <w:qFormat/>
    <w:rsid w:val="007253E6"/>
    <w:pPr>
      <w:ind w:left="720"/>
      <w:contextualSpacing/>
    </w:pPr>
  </w:style>
  <w:style w:type="character" w:customStyle="1" w:styleId="rvts23">
    <w:name w:val="rvts23"/>
    <w:basedOn w:val="a0"/>
    <w:qFormat/>
    <w:rsid w:val="007253E6"/>
    <w:rPr>
      <w:rFonts w:cs="Times New Roman"/>
    </w:rPr>
  </w:style>
  <w:style w:type="character" w:customStyle="1" w:styleId="rvts9">
    <w:name w:val="rvts9"/>
    <w:basedOn w:val="a0"/>
    <w:qFormat/>
    <w:rsid w:val="007253E6"/>
    <w:rPr>
      <w:rFonts w:cs="Times New Roman"/>
    </w:rPr>
  </w:style>
  <w:style w:type="character" w:customStyle="1" w:styleId="-">
    <w:name w:val="Интернет-ссылка"/>
    <w:basedOn w:val="a0"/>
    <w:uiPriority w:val="99"/>
    <w:semiHidden/>
    <w:qFormat/>
    <w:rsid w:val="007253E6"/>
    <w:rPr>
      <w:rFonts w:cs="Times New Roman"/>
      <w:color w:val="0000FF"/>
      <w:u w:val="single"/>
    </w:rPr>
  </w:style>
  <w:style w:type="paragraph" w:customStyle="1" w:styleId="rvps7">
    <w:name w:val="rvps7"/>
    <w:basedOn w:val="a"/>
    <w:rsid w:val="005B14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5B14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744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000000"/>
      <w:sz w:val="21"/>
      <w:szCs w:val="21"/>
      <w:lang w:val="uk-UA" w:eastAsia="ru-RU"/>
    </w:rPr>
  </w:style>
  <w:style w:type="character" w:customStyle="1" w:styleId="HTML0">
    <w:name w:val="Стандартный HTML Знак"/>
    <w:basedOn w:val="a0"/>
    <w:link w:val="HTML"/>
    <w:rsid w:val="00744397"/>
    <w:rPr>
      <w:rFonts w:ascii="Courier New" w:eastAsia="Times New Roman" w:hAnsi="Courier New" w:cs="Courier New"/>
      <w:color w:val="000000"/>
      <w:sz w:val="21"/>
      <w:szCs w:val="21"/>
      <w:lang w:val="uk-UA" w:eastAsia="ru-RU"/>
    </w:rPr>
  </w:style>
  <w:style w:type="paragraph" w:customStyle="1" w:styleId="rvps17">
    <w:name w:val="rvps17"/>
    <w:basedOn w:val="a"/>
    <w:rsid w:val="00EC320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EC3200"/>
  </w:style>
  <w:style w:type="character" w:customStyle="1" w:styleId="rvts15">
    <w:name w:val="rvts15"/>
    <w:basedOn w:val="a0"/>
    <w:rsid w:val="00EC3200"/>
  </w:style>
  <w:style w:type="paragraph" w:styleId="a9">
    <w:name w:val="Balloon Text"/>
    <w:basedOn w:val="a"/>
    <w:link w:val="aa"/>
    <w:uiPriority w:val="99"/>
    <w:semiHidden/>
    <w:unhideWhenUsed/>
    <w:rsid w:val="00EC32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3200"/>
    <w:rPr>
      <w:rFonts w:ascii="Tahoma" w:eastAsia="Calibri" w:hAnsi="Tahoma" w:cs="Tahoma"/>
      <w:sz w:val="16"/>
      <w:szCs w:val="16"/>
    </w:rPr>
  </w:style>
  <w:style w:type="paragraph" w:styleId="ab">
    <w:name w:val="footer"/>
    <w:basedOn w:val="a"/>
    <w:link w:val="ac"/>
    <w:uiPriority w:val="99"/>
    <w:unhideWhenUsed/>
    <w:rsid w:val="0004763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7638"/>
    <w:rPr>
      <w:rFonts w:ascii="Calibri" w:eastAsia="Calibri" w:hAnsi="Calibri" w:cs="font3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6369">
      <w:bodyDiv w:val="1"/>
      <w:marLeft w:val="0"/>
      <w:marRight w:val="0"/>
      <w:marTop w:val="0"/>
      <w:marBottom w:val="0"/>
      <w:divBdr>
        <w:top w:val="none" w:sz="0" w:space="0" w:color="auto"/>
        <w:left w:val="none" w:sz="0" w:space="0" w:color="auto"/>
        <w:bottom w:val="none" w:sz="0" w:space="0" w:color="auto"/>
        <w:right w:val="none" w:sz="0" w:space="0" w:color="auto"/>
      </w:divBdr>
    </w:div>
    <w:div w:id="303432528">
      <w:bodyDiv w:val="1"/>
      <w:marLeft w:val="0"/>
      <w:marRight w:val="0"/>
      <w:marTop w:val="0"/>
      <w:marBottom w:val="0"/>
      <w:divBdr>
        <w:top w:val="none" w:sz="0" w:space="0" w:color="auto"/>
        <w:left w:val="none" w:sz="0" w:space="0" w:color="auto"/>
        <w:bottom w:val="none" w:sz="0" w:space="0" w:color="auto"/>
        <w:right w:val="none" w:sz="0" w:space="0" w:color="auto"/>
      </w:divBdr>
    </w:div>
    <w:div w:id="381177395">
      <w:bodyDiv w:val="1"/>
      <w:marLeft w:val="0"/>
      <w:marRight w:val="0"/>
      <w:marTop w:val="0"/>
      <w:marBottom w:val="0"/>
      <w:divBdr>
        <w:top w:val="none" w:sz="0" w:space="0" w:color="auto"/>
        <w:left w:val="none" w:sz="0" w:space="0" w:color="auto"/>
        <w:bottom w:val="none" w:sz="0" w:space="0" w:color="auto"/>
        <w:right w:val="none" w:sz="0" w:space="0" w:color="auto"/>
      </w:divBdr>
    </w:div>
    <w:div w:id="384257085">
      <w:bodyDiv w:val="1"/>
      <w:marLeft w:val="0"/>
      <w:marRight w:val="0"/>
      <w:marTop w:val="0"/>
      <w:marBottom w:val="0"/>
      <w:divBdr>
        <w:top w:val="none" w:sz="0" w:space="0" w:color="auto"/>
        <w:left w:val="none" w:sz="0" w:space="0" w:color="auto"/>
        <w:bottom w:val="none" w:sz="0" w:space="0" w:color="auto"/>
        <w:right w:val="none" w:sz="0" w:space="0" w:color="auto"/>
      </w:divBdr>
    </w:div>
    <w:div w:id="569924155">
      <w:bodyDiv w:val="1"/>
      <w:marLeft w:val="0"/>
      <w:marRight w:val="0"/>
      <w:marTop w:val="0"/>
      <w:marBottom w:val="0"/>
      <w:divBdr>
        <w:top w:val="none" w:sz="0" w:space="0" w:color="auto"/>
        <w:left w:val="none" w:sz="0" w:space="0" w:color="auto"/>
        <w:bottom w:val="none" w:sz="0" w:space="0" w:color="auto"/>
        <w:right w:val="none" w:sz="0" w:space="0" w:color="auto"/>
      </w:divBdr>
    </w:div>
    <w:div w:id="750544774">
      <w:bodyDiv w:val="1"/>
      <w:marLeft w:val="0"/>
      <w:marRight w:val="0"/>
      <w:marTop w:val="0"/>
      <w:marBottom w:val="0"/>
      <w:divBdr>
        <w:top w:val="none" w:sz="0" w:space="0" w:color="auto"/>
        <w:left w:val="none" w:sz="0" w:space="0" w:color="auto"/>
        <w:bottom w:val="none" w:sz="0" w:space="0" w:color="auto"/>
        <w:right w:val="none" w:sz="0" w:space="0" w:color="auto"/>
      </w:divBdr>
    </w:div>
    <w:div w:id="995231087">
      <w:bodyDiv w:val="1"/>
      <w:marLeft w:val="0"/>
      <w:marRight w:val="0"/>
      <w:marTop w:val="0"/>
      <w:marBottom w:val="0"/>
      <w:divBdr>
        <w:top w:val="none" w:sz="0" w:space="0" w:color="auto"/>
        <w:left w:val="none" w:sz="0" w:space="0" w:color="auto"/>
        <w:bottom w:val="none" w:sz="0" w:space="0" w:color="auto"/>
        <w:right w:val="none" w:sz="0" w:space="0" w:color="auto"/>
      </w:divBdr>
    </w:div>
    <w:div w:id="1176654267">
      <w:bodyDiv w:val="1"/>
      <w:marLeft w:val="0"/>
      <w:marRight w:val="0"/>
      <w:marTop w:val="0"/>
      <w:marBottom w:val="0"/>
      <w:divBdr>
        <w:top w:val="none" w:sz="0" w:space="0" w:color="auto"/>
        <w:left w:val="none" w:sz="0" w:space="0" w:color="auto"/>
        <w:bottom w:val="none" w:sz="0" w:space="0" w:color="auto"/>
        <w:right w:val="none" w:sz="0" w:space="0" w:color="auto"/>
      </w:divBdr>
    </w:div>
    <w:div w:id="1366909222">
      <w:bodyDiv w:val="1"/>
      <w:marLeft w:val="0"/>
      <w:marRight w:val="0"/>
      <w:marTop w:val="0"/>
      <w:marBottom w:val="0"/>
      <w:divBdr>
        <w:top w:val="none" w:sz="0" w:space="0" w:color="auto"/>
        <w:left w:val="none" w:sz="0" w:space="0" w:color="auto"/>
        <w:bottom w:val="none" w:sz="0" w:space="0" w:color="auto"/>
        <w:right w:val="none" w:sz="0" w:space="0" w:color="auto"/>
      </w:divBdr>
    </w:div>
    <w:div w:id="1423914349">
      <w:bodyDiv w:val="1"/>
      <w:marLeft w:val="0"/>
      <w:marRight w:val="0"/>
      <w:marTop w:val="0"/>
      <w:marBottom w:val="0"/>
      <w:divBdr>
        <w:top w:val="none" w:sz="0" w:space="0" w:color="auto"/>
        <w:left w:val="none" w:sz="0" w:space="0" w:color="auto"/>
        <w:bottom w:val="none" w:sz="0" w:space="0" w:color="auto"/>
        <w:right w:val="none" w:sz="0" w:space="0" w:color="auto"/>
      </w:divBdr>
    </w:div>
    <w:div w:id="1511988952">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single" w:sz="6" w:space="6" w:color="C3D6F5"/>
            <w:left w:val="single" w:sz="6" w:space="12" w:color="C3D6F5"/>
            <w:bottom w:val="single" w:sz="6" w:space="6" w:color="CAE8FC"/>
            <w:right w:val="single" w:sz="6" w:space="12" w:color="CAE8FC"/>
          </w:divBdr>
          <w:divsChild>
            <w:div w:id="1540776091">
              <w:marLeft w:val="0"/>
              <w:marRight w:val="0"/>
              <w:marTop w:val="0"/>
              <w:marBottom w:val="0"/>
              <w:divBdr>
                <w:top w:val="none" w:sz="0" w:space="0" w:color="auto"/>
                <w:left w:val="none" w:sz="0" w:space="0" w:color="auto"/>
                <w:bottom w:val="none" w:sz="0" w:space="0" w:color="auto"/>
                <w:right w:val="none" w:sz="0" w:space="0" w:color="auto"/>
              </w:divBdr>
            </w:div>
          </w:divsChild>
        </w:div>
        <w:div w:id="1121267704">
          <w:marLeft w:val="-225"/>
          <w:marRight w:val="-225"/>
          <w:marTop w:val="0"/>
          <w:marBottom w:val="0"/>
          <w:divBdr>
            <w:top w:val="none" w:sz="0" w:space="0" w:color="auto"/>
            <w:left w:val="none" w:sz="0" w:space="0" w:color="auto"/>
            <w:bottom w:val="none" w:sz="0" w:space="0" w:color="auto"/>
            <w:right w:val="none" w:sz="0" w:space="0" w:color="auto"/>
          </w:divBdr>
          <w:divsChild>
            <w:div w:id="1196692913">
              <w:marLeft w:val="0"/>
              <w:marRight w:val="0"/>
              <w:marTop w:val="0"/>
              <w:marBottom w:val="0"/>
              <w:divBdr>
                <w:top w:val="none" w:sz="0" w:space="0" w:color="auto"/>
                <w:left w:val="none" w:sz="0" w:space="0" w:color="auto"/>
                <w:bottom w:val="none" w:sz="0" w:space="0" w:color="auto"/>
                <w:right w:val="none" w:sz="0" w:space="0" w:color="auto"/>
              </w:divBdr>
              <w:divsChild>
                <w:div w:id="690301406">
                  <w:marLeft w:val="0"/>
                  <w:marRight w:val="0"/>
                  <w:marTop w:val="0"/>
                  <w:marBottom w:val="0"/>
                  <w:divBdr>
                    <w:top w:val="none" w:sz="0" w:space="0" w:color="auto"/>
                    <w:left w:val="none" w:sz="0" w:space="0" w:color="auto"/>
                    <w:bottom w:val="none" w:sz="0" w:space="0" w:color="auto"/>
                    <w:right w:val="none" w:sz="0" w:space="0" w:color="auto"/>
                  </w:divBdr>
                  <w:divsChild>
                    <w:div w:id="1159230953">
                      <w:marLeft w:val="0"/>
                      <w:marRight w:val="0"/>
                      <w:marTop w:val="0"/>
                      <w:marBottom w:val="0"/>
                      <w:divBdr>
                        <w:top w:val="none" w:sz="0" w:space="0" w:color="auto"/>
                        <w:left w:val="none" w:sz="0" w:space="0" w:color="auto"/>
                        <w:bottom w:val="none" w:sz="0" w:space="0" w:color="auto"/>
                        <w:right w:val="none" w:sz="0" w:space="0" w:color="auto"/>
                      </w:divBdr>
                      <w:divsChild>
                        <w:div w:id="390348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3721664">
      <w:bodyDiv w:val="1"/>
      <w:marLeft w:val="0"/>
      <w:marRight w:val="0"/>
      <w:marTop w:val="0"/>
      <w:marBottom w:val="0"/>
      <w:divBdr>
        <w:top w:val="none" w:sz="0" w:space="0" w:color="auto"/>
        <w:left w:val="none" w:sz="0" w:space="0" w:color="auto"/>
        <w:bottom w:val="none" w:sz="0" w:space="0" w:color="auto"/>
        <w:right w:val="none" w:sz="0" w:space="0" w:color="auto"/>
      </w:divBdr>
    </w:div>
    <w:div w:id="1953707341">
      <w:bodyDiv w:val="1"/>
      <w:marLeft w:val="0"/>
      <w:marRight w:val="0"/>
      <w:marTop w:val="0"/>
      <w:marBottom w:val="0"/>
      <w:divBdr>
        <w:top w:val="none" w:sz="0" w:space="0" w:color="auto"/>
        <w:left w:val="none" w:sz="0" w:space="0" w:color="auto"/>
        <w:bottom w:val="none" w:sz="0" w:space="0" w:color="auto"/>
        <w:right w:val="none" w:sz="0" w:space="0" w:color="auto"/>
      </w:divBdr>
      <w:divsChild>
        <w:div w:id="368192511">
          <w:marLeft w:val="0"/>
          <w:marRight w:val="0"/>
          <w:marTop w:val="0"/>
          <w:marBottom w:val="150"/>
          <w:divBdr>
            <w:top w:val="none" w:sz="0" w:space="0" w:color="auto"/>
            <w:left w:val="none" w:sz="0" w:space="0" w:color="auto"/>
            <w:bottom w:val="none" w:sz="0" w:space="0" w:color="auto"/>
            <w:right w:val="none" w:sz="0" w:space="0" w:color="auto"/>
          </w:divBdr>
        </w:div>
      </w:divsChild>
    </w:div>
    <w:div w:id="2129275040">
      <w:bodyDiv w:val="1"/>
      <w:marLeft w:val="0"/>
      <w:marRight w:val="0"/>
      <w:marTop w:val="0"/>
      <w:marBottom w:val="0"/>
      <w:divBdr>
        <w:top w:val="none" w:sz="0" w:space="0" w:color="auto"/>
        <w:left w:val="none" w:sz="0" w:space="0" w:color="auto"/>
        <w:bottom w:val="none" w:sz="0" w:space="0" w:color="auto"/>
        <w:right w:val="none" w:sz="0" w:space="0" w:color="auto"/>
      </w:divBdr>
      <w:divsChild>
        <w:div w:id="159956083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68-20" TargetMode="External"/><Relationship Id="rId13" Type="http://schemas.openxmlformats.org/officeDocument/2006/relationships/hyperlink" Target="https://gc.gov.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5492-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go/768-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go/768-20" TargetMode="External"/><Relationship Id="rId4" Type="http://schemas.openxmlformats.org/officeDocument/2006/relationships/settings" Target="settings.xml"/><Relationship Id="rId9" Type="http://schemas.openxmlformats.org/officeDocument/2006/relationships/hyperlink" Target="https://zakon.rada.gov.ua/go/768-20" TargetMode="External"/><Relationship Id="rId14" Type="http://schemas.openxmlformats.org/officeDocument/2006/relationships/hyperlink" Target="https://gc.gov.ua/ua/Rehuliatorna-diialni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4528</Words>
  <Characters>25814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Guest_20</cp:lastModifiedBy>
  <cp:revision>10</cp:revision>
  <dcterms:created xsi:type="dcterms:W3CDTF">2021-12-03T09:29:00Z</dcterms:created>
  <dcterms:modified xsi:type="dcterms:W3CDTF">2022-01-26T07:34:00Z</dcterms:modified>
</cp:coreProperties>
</file>