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62AF" w14:textId="7BBEE340" w:rsidR="00335710" w:rsidRPr="002B4AAA" w:rsidRDefault="00741837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sz w:val="28"/>
          <w:szCs w:val="28"/>
          <w:lang w:eastAsia="uk-UA"/>
        </w:rPr>
        <w:t>ПОЯСНЮВАЛЬНА ЗАПИСКА</w:t>
      </w:r>
      <w:r w:rsidRPr="002B4AAA">
        <w:rPr>
          <w:sz w:val="28"/>
          <w:szCs w:val="28"/>
          <w:lang w:eastAsia="uk-UA"/>
        </w:rPr>
        <w:br/>
      </w:r>
      <w:r w:rsidRPr="002B4AAA">
        <w:rPr>
          <w:b/>
          <w:bCs/>
          <w:sz w:val="28"/>
          <w:szCs w:val="28"/>
          <w:lang w:eastAsia="uk-UA"/>
        </w:rPr>
        <w:t xml:space="preserve">до проєкту </w:t>
      </w:r>
      <w:r w:rsidR="00101363" w:rsidRPr="00101363">
        <w:rPr>
          <w:rFonts w:eastAsia="NSimSun"/>
          <w:b/>
          <w:bCs/>
          <w:kern w:val="3"/>
          <w:sz w:val="28"/>
          <w:szCs w:val="28"/>
          <w:lang w:eastAsia="zh-CN"/>
        </w:rPr>
        <w:t>постанови Кабінету Міністрів України «Про внесення змін до Порядку застосування Комісією з регулювання азартних ігор та лотерей фінансових санкцій (штрафів)»</w:t>
      </w:r>
    </w:p>
    <w:p w14:paraId="7249A3F8" w14:textId="77777777" w:rsidR="00335710" w:rsidRPr="002B4AAA" w:rsidRDefault="0033571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14:paraId="0E245D7A" w14:textId="77777777" w:rsidR="00335710" w:rsidRPr="002B4AAA" w:rsidRDefault="00741837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2422D8E1" w14:textId="00DD1677" w:rsidR="00335710" w:rsidRPr="002B4AAA" w:rsidRDefault="00DC3CCD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101363">
        <w:rPr>
          <w:sz w:val="28"/>
          <w:szCs w:val="28"/>
          <w:lang w:eastAsia="uk-UA"/>
        </w:rPr>
        <w:t>П</w:t>
      </w:r>
      <w:r w:rsidR="00741837" w:rsidRPr="00101363">
        <w:rPr>
          <w:sz w:val="28"/>
          <w:szCs w:val="28"/>
          <w:lang w:eastAsia="uk-UA"/>
        </w:rPr>
        <w:t xml:space="preserve">роєкт </w:t>
      </w:r>
      <w:r w:rsidR="00101363" w:rsidRPr="00101363">
        <w:rPr>
          <w:rFonts w:eastAsia="NSimSun"/>
          <w:kern w:val="3"/>
          <w:sz w:val="28"/>
          <w:szCs w:val="28"/>
          <w:lang w:eastAsia="zh-CN"/>
        </w:rPr>
        <w:t>постанови Кабінету Міністрів України «Про внесення змін до Порядку застосування Комісією з регулювання азартних ігор та лотерей фінансових санкцій (штрафів)</w:t>
      </w:r>
      <w:r w:rsidR="00101363" w:rsidRPr="00101363">
        <w:rPr>
          <w:rFonts w:eastAsia="NSimSun"/>
          <w:bCs/>
          <w:kern w:val="3"/>
          <w:sz w:val="28"/>
          <w:szCs w:val="28"/>
          <w:lang w:eastAsia="zh-CN"/>
        </w:rPr>
        <w:t xml:space="preserve">» </w:t>
      </w:r>
      <w:r w:rsidR="00741837" w:rsidRPr="00101363">
        <w:rPr>
          <w:sz w:val="28"/>
          <w:szCs w:val="28"/>
          <w:lang w:eastAsia="uk-UA"/>
        </w:rPr>
        <w:t xml:space="preserve">(далі — </w:t>
      </w:r>
      <w:r w:rsidR="009B08A6" w:rsidRPr="00101363">
        <w:rPr>
          <w:sz w:val="28"/>
          <w:szCs w:val="28"/>
          <w:lang w:eastAsia="uk-UA"/>
        </w:rPr>
        <w:t>п</w:t>
      </w:r>
      <w:r w:rsidR="00741837" w:rsidRPr="00101363">
        <w:rPr>
          <w:sz w:val="28"/>
          <w:szCs w:val="28"/>
          <w:lang w:eastAsia="uk-UA"/>
        </w:rPr>
        <w:t xml:space="preserve">роєкт) </w:t>
      </w:r>
      <w:r w:rsidRPr="00101363">
        <w:rPr>
          <w:sz w:val="28"/>
          <w:szCs w:val="28"/>
          <w:lang w:eastAsia="uk-UA"/>
        </w:rPr>
        <w:t xml:space="preserve">розроблено </w:t>
      </w:r>
      <w:bookmarkStart w:id="0" w:name="_Hlk143092317"/>
      <w:r w:rsidRPr="00101363">
        <w:rPr>
          <w:sz w:val="28"/>
          <w:szCs w:val="28"/>
          <w:lang w:eastAsia="uk-UA"/>
        </w:rPr>
        <w:t xml:space="preserve">з метою </w:t>
      </w:r>
      <w:r w:rsidR="00E64264" w:rsidRPr="00101363">
        <w:rPr>
          <w:sz w:val="28"/>
          <w:szCs w:val="28"/>
          <w:lang w:eastAsia="uk-UA"/>
        </w:rPr>
        <w:t xml:space="preserve">приведення </w:t>
      </w:r>
      <w:r w:rsidR="00101363" w:rsidRPr="00101363">
        <w:rPr>
          <w:sz w:val="28"/>
          <w:szCs w:val="28"/>
          <w:lang w:eastAsia="uk-UA"/>
        </w:rPr>
        <w:t>нормативно-правових актів</w:t>
      </w:r>
      <w:r w:rsidR="00E64264" w:rsidRPr="00101363">
        <w:rPr>
          <w:sz w:val="28"/>
          <w:szCs w:val="28"/>
          <w:lang w:eastAsia="uk-UA"/>
        </w:rPr>
        <w:t xml:space="preserve"> </w:t>
      </w:r>
      <w:r w:rsidR="00101363" w:rsidRPr="00101363">
        <w:rPr>
          <w:sz w:val="28"/>
          <w:szCs w:val="28"/>
          <w:lang w:eastAsia="uk-UA"/>
        </w:rPr>
        <w:t xml:space="preserve">у відповідність </w:t>
      </w:r>
      <w:r w:rsidR="008A06E7">
        <w:rPr>
          <w:sz w:val="28"/>
          <w:szCs w:val="28"/>
          <w:lang w:eastAsia="uk-UA"/>
        </w:rPr>
        <w:t>із</w:t>
      </w:r>
      <w:r w:rsidR="00101363" w:rsidRPr="00101363">
        <w:rPr>
          <w:sz w:val="28"/>
          <w:szCs w:val="28"/>
          <w:lang w:eastAsia="uk-UA"/>
        </w:rPr>
        <w:t xml:space="preserve"> закон</w:t>
      </w:r>
      <w:r w:rsidR="008A06E7">
        <w:rPr>
          <w:sz w:val="28"/>
          <w:szCs w:val="28"/>
          <w:lang w:eastAsia="uk-UA"/>
        </w:rPr>
        <w:t>ами</w:t>
      </w:r>
      <w:r w:rsidR="00101363" w:rsidRPr="00101363">
        <w:rPr>
          <w:sz w:val="28"/>
          <w:szCs w:val="28"/>
          <w:lang w:eastAsia="uk-UA"/>
        </w:rPr>
        <w:t xml:space="preserve"> України «Про адміністративну процедуру» </w:t>
      </w:r>
      <w:r w:rsidR="00101363">
        <w:rPr>
          <w:sz w:val="28"/>
          <w:szCs w:val="28"/>
          <w:lang w:eastAsia="uk-UA"/>
        </w:rPr>
        <w:t xml:space="preserve">(далі – Закон про адміністративну процедуру) </w:t>
      </w:r>
      <w:r w:rsidR="00101363" w:rsidRPr="00101363">
        <w:rPr>
          <w:sz w:val="28"/>
          <w:szCs w:val="28"/>
          <w:lang w:eastAsia="uk-UA"/>
        </w:rPr>
        <w:t xml:space="preserve">та </w:t>
      </w:r>
      <w:bookmarkStart w:id="1" w:name="_Hlk143788662"/>
      <w:r w:rsidR="00101363" w:rsidRPr="00101363">
        <w:rPr>
          <w:sz w:val="28"/>
          <w:szCs w:val="28"/>
          <w:lang w:eastAsia="uk-UA"/>
        </w:rPr>
        <w:t>«Про внесення змін до Закону України «Про рекламу»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(Європейської конвенції про транскордонне телебачення, Директиви Європейського парламенту та Ради 2010/13/ЄС про аудіовізуальні медіапослуги від 10 березня 2010 року із змінами, внесеними Директивою (ЄС) 2018/1808 від 14 листопада 2018 року)»</w:t>
      </w:r>
      <w:bookmarkEnd w:id="0"/>
      <w:bookmarkEnd w:id="1"/>
      <w:r w:rsidR="00101363">
        <w:rPr>
          <w:sz w:val="28"/>
          <w:szCs w:val="28"/>
          <w:lang w:eastAsia="uk-UA"/>
        </w:rPr>
        <w:t xml:space="preserve"> </w:t>
      </w:r>
      <w:r w:rsidR="007C59A0">
        <w:rPr>
          <w:sz w:val="28"/>
          <w:szCs w:val="28"/>
          <w:lang w:eastAsia="uk-UA"/>
        </w:rPr>
        <w:t xml:space="preserve">                                    </w:t>
      </w:r>
      <w:r w:rsidR="00101363">
        <w:rPr>
          <w:sz w:val="28"/>
          <w:szCs w:val="28"/>
          <w:lang w:eastAsia="uk-UA"/>
        </w:rPr>
        <w:t>(далі – Закон про внесення змін)</w:t>
      </w:r>
      <w:r w:rsidR="009B08A6" w:rsidRPr="002B4AAA">
        <w:rPr>
          <w:rStyle w:val="rvts23"/>
          <w:rFonts w:eastAsia="NSimSun"/>
          <w:sz w:val="28"/>
          <w:szCs w:val="28"/>
        </w:rPr>
        <w:t>.</w:t>
      </w:r>
    </w:p>
    <w:p w14:paraId="67E6F51F" w14:textId="77777777" w:rsidR="00335710" w:rsidRPr="002B4AAA" w:rsidRDefault="00335710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bookmarkStart w:id="2" w:name="n1977"/>
      <w:bookmarkStart w:id="3" w:name="n1978"/>
      <w:bookmarkEnd w:id="2"/>
      <w:bookmarkEnd w:id="3"/>
    </w:p>
    <w:p w14:paraId="225687BF" w14:textId="77777777" w:rsidR="00335710" w:rsidRPr="002B4AAA" w:rsidRDefault="00741837" w:rsidP="00A25AC3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2A0D38CF" w14:textId="1131A5BE" w:rsidR="00DA596B" w:rsidRDefault="00DA596B" w:rsidP="00A25AC3">
      <w:pPr>
        <w:ind w:firstLine="567"/>
        <w:jc w:val="both"/>
        <w:rPr>
          <w:sz w:val="28"/>
          <w:szCs w:val="28"/>
          <w:shd w:val="clear" w:color="auto" w:fill="FFFFFF"/>
        </w:rPr>
      </w:pPr>
      <w:r w:rsidRPr="00DA596B">
        <w:rPr>
          <w:sz w:val="28"/>
          <w:szCs w:val="28"/>
        </w:rPr>
        <w:t>30 травня 2023 року прийнято З</w:t>
      </w:r>
      <w:r w:rsidR="00D95A1C" w:rsidRPr="00DA596B">
        <w:rPr>
          <w:sz w:val="28"/>
          <w:szCs w:val="28"/>
        </w:rPr>
        <w:t xml:space="preserve">акон </w:t>
      </w:r>
      <w:r w:rsidRPr="00DA596B">
        <w:rPr>
          <w:sz w:val="28"/>
          <w:szCs w:val="28"/>
        </w:rPr>
        <w:t>про внесення змін, яким зокрема, КРАІЛ наділено новими повноваженнями</w:t>
      </w:r>
      <w:r w:rsidRPr="00DA596B">
        <w:rPr>
          <w:sz w:val="28"/>
          <w:szCs w:val="28"/>
          <w:shd w:val="clear" w:color="auto" w:fill="FFFFFF"/>
        </w:rPr>
        <w:t xml:space="preserve"> контролю за дотриманням законодавства України про рекламу щодо реклами у сфері організації та проведення азартних ігор.</w:t>
      </w:r>
    </w:p>
    <w:p w14:paraId="579B5E35" w14:textId="77777777" w:rsidR="00A40B65" w:rsidRDefault="00357B26" w:rsidP="00D71747">
      <w:pPr>
        <w:ind w:firstLine="567"/>
        <w:jc w:val="both"/>
        <w:rPr>
          <w:sz w:val="28"/>
          <w:szCs w:val="28"/>
        </w:rPr>
      </w:pPr>
      <w:r w:rsidRPr="00D71747">
        <w:rPr>
          <w:bCs/>
          <w:sz w:val="28"/>
          <w:szCs w:val="28"/>
        </w:rPr>
        <w:t xml:space="preserve">З метою забезпечення виконання положень </w:t>
      </w:r>
      <w:r w:rsidR="00D71747" w:rsidRPr="00D71747">
        <w:rPr>
          <w:sz w:val="28"/>
          <w:szCs w:val="28"/>
        </w:rPr>
        <w:t xml:space="preserve">Закону про внесення змін </w:t>
      </w:r>
      <w:r w:rsidRPr="00D71747">
        <w:rPr>
          <w:sz w:val="28"/>
          <w:szCs w:val="28"/>
        </w:rPr>
        <w:t xml:space="preserve">Прем’єр-міністром України Д. Шмигалем </w:t>
      </w:r>
      <w:r w:rsidRPr="00D71747">
        <w:rPr>
          <w:bCs/>
          <w:sz w:val="28"/>
          <w:szCs w:val="28"/>
        </w:rPr>
        <w:t>надано доручення</w:t>
      </w:r>
      <w:r w:rsidRPr="00D71747">
        <w:rPr>
          <w:sz w:val="28"/>
          <w:szCs w:val="28"/>
        </w:rPr>
        <w:t xml:space="preserve"> від 27.07.2023 №</w:t>
      </w:r>
      <w:r w:rsidR="00A40B65">
        <w:rPr>
          <w:sz w:val="28"/>
          <w:szCs w:val="28"/>
        </w:rPr>
        <w:t> </w:t>
      </w:r>
      <w:r w:rsidRPr="00D71747">
        <w:rPr>
          <w:sz w:val="28"/>
          <w:szCs w:val="28"/>
        </w:rPr>
        <w:t xml:space="preserve">20362/1/1-23 міністерствам, керівникам інших центральних органів виконавчої влади </w:t>
      </w:r>
      <w:r w:rsidR="00D71747" w:rsidRPr="00D71747">
        <w:rPr>
          <w:sz w:val="28"/>
          <w:szCs w:val="28"/>
        </w:rPr>
        <w:t xml:space="preserve">відповідно до </w:t>
      </w:r>
      <w:r w:rsidRPr="00D71747">
        <w:rPr>
          <w:sz w:val="28"/>
          <w:szCs w:val="28"/>
        </w:rPr>
        <w:t>план</w:t>
      </w:r>
      <w:r w:rsidR="00D71747" w:rsidRPr="00D71747">
        <w:rPr>
          <w:sz w:val="28"/>
          <w:szCs w:val="28"/>
        </w:rPr>
        <w:t>у</w:t>
      </w:r>
      <w:r w:rsidRPr="00D71747">
        <w:rPr>
          <w:sz w:val="28"/>
          <w:szCs w:val="28"/>
        </w:rPr>
        <w:t xml:space="preserve"> організації підготовки проєктів актів та виконання інших завдань, необхідних для забезпечення його реалізації</w:t>
      </w:r>
      <w:r w:rsidR="00D71747" w:rsidRPr="00D71747">
        <w:rPr>
          <w:sz w:val="28"/>
          <w:szCs w:val="28"/>
        </w:rPr>
        <w:t xml:space="preserve"> у разі потреби згідно з компетенцією подати на розгляд Кабінету Міністрів</w:t>
      </w:r>
      <w:r w:rsidR="00A40B65">
        <w:rPr>
          <w:sz w:val="28"/>
          <w:szCs w:val="28"/>
        </w:rPr>
        <w:t xml:space="preserve"> України, зокрема,</w:t>
      </w:r>
      <w:r w:rsidR="00D71747" w:rsidRPr="00D71747">
        <w:rPr>
          <w:sz w:val="28"/>
          <w:szCs w:val="28"/>
        </w:rPr>
        <w:t xml:space="preserve"> про</w:t>
      </w:r>
      <w:r w:rsidR="00A40B65">
        <w:rPr>
          <w:sz w:val="28"/>
          <w:szCs w:val="28"/>
        </w:rPr>
        <w:t>є</w:t>
      </w:r>
      <w:r w:rsidR="00D71747" w:rsidRPr="00D71747">
        <w:rPr>
          <w:sz w:val="28"/>
          <w:szCs w:val="28"/>
        </w:rPr>
        <w:t xml:space="preserve">кти нормативно-правових актів, необхідних для реалізації </w:t>
      </w:r>
      <w:r w:rsidR="00A40B65">
        <w:rPr>
          <w:sz w:val="28"/>
          <w:szCs w:val="28"/>
        </w:rPr>
        <w:t xml:space="preserve">цього </w:t>
      </w:r>
      <w:r w:rsidR="00D71747" w:rsidRPr="00D71747">
        <w:rPr>
          <w:sz w:val="28"/>
          <w:szCs w:val="28"/>
        </w:rPr>
        <w:t xml:space="preserve">Закону та приведення нормативно-правових актів Кабінету Міністрів у відповідність із </w:t>
      </w:r>
      <w:r w:rsidR="00A40B65">
        <w:rPr>
          <w:sz w:val="28"/>
          <w:szCs w:val="28"/>
        </w:rPr>
        <w:t xml:space="preserve">цим </w:t>
      </w:r>
      <w:r w:rsidR="00D71747" w:rsidRPr="00D71747">
        <w:rPr>
          <w:sz w:val="28"/>
          <w:szCs w:val="28"/>
        </w:rPr>
        <w:t>Законом</w:t>
      </w:r>
      <w:r w:rsidR="00A40B65">
        <w:rPr>
          <w:sz w:val="28"/>
          <w:szCs w:val="28"/>
        </w:rPr>
        <w:t>.</w:t>
      </w:r>
    </w:p>
    <w:p w14:paraId="1FBBA39B" w14:textId="5E0262B8" w:rsidR="00D71747" w:rsidRDefault="00A40B65" w:rsidP="00D71747">
      <w:pPr>
        <w:ind w:firstLine="567"/>
        <w:jc w:val="both"/>
        <w:rPr>
          <w:sz w:val="28"/>
          <w:szCs w:val="28"/>
          <w:shd w:val="clear" w:color="auto" w:fill="FFFFFF"/>
        </w:rPr>
      </w:pPr>
      <w:r w:rsidRPr="00A40B65">
        <w:rPr>
          <w:sz w:val="28"/>
          <w:szCs w:val="28"/>
        </w:rPr>
        <w:t xml:space="preserve">Слід зазначити, що </w:t>
      </w:r>
      <w:r w:rsidRPr="00A40B65">
        <w:rPr>
          <w:sz w:val="28"/>
          <w:szCs w:val="28"/>
          <w:shd w:val="clear" w:color="auto" w:fill="FFFFFF"/>
        </w:rPr>
        <w:t>Поряд</w:t>
      </w:r>
      <w:r>
        <w:rPr>
          <w:sz w:val="28"/>
          <w:szCs w:val="28"/>
          <w:shd w:val="clear" w:color="auto" w:fill="FFFFFF"/>
        </w:rPr>
        <w:t>ок</w:t>
      </w:r>
      <w:r w:rsidRPr="00A40B65">
        <w:rPr>
          <w:sz w:val="28"/>
          <w:szCs w:val="28"/>
          <w:shd w:val="clear" w:color="auto" w:fill="FFFFFF"/>
        </w:rPr>
        <w:t xml:space="preserve"> застосування Комісією з регулювання азартних ігор та лотерей фінансових санкцій (штрафів), затверджени</w:t>
      </w:r>
      <w:r>
        <w:rPr>
          <w:sz w:val="28"/>
          <w:szCs w:val="28"/>
          <w:shd w:val="clear" w:color="auto" w:fill="FFFFFF"/>
        </w:rPr>
        <w:t>й</w:t>
      </w:r>
      <w:r w:rsidRPr="00A40B65">
        <w:rPr>
          <w:sz w:val="28"/>
          <w:szCs w:val="28"/>
          <w:shd w:val="clear" w:color="auto" w:fill="FFFFFF"/>
        </w:rPr>
        <w:t xml:space="preserve"> постановою Кабінету Міністрів України від </w:t>
      </w:r>
      <w:r>
        <w:rPr>
          <w:sz w:val="28"/>
          <w:szCs w:val="28"/>
          <w:shd w:val="clear" w:color="auto" w:fill="FFFFFF"/>
        </w:rPr>
        <w:t>0</w:t>
      </w:r>
      <w:r w:rsidRPr="00A40B65">
        <w:rPr>
          <w:sz w:val="28"/>
          <w:szCs w:val="28"/>
          <w:shd w:val="clear" w:color="auto" w:fill="FFFFFF"/>
        </w:rPr>
        <w:t>9 лютого 2022 року № 101 (далі – Порядок)</w:t>
      </w:r>
      <w:r>
        <w:rPr>
          <w:sz w:val="28"/>
          <w:szCs w:val="28"/>
          <w:shd w:val="clear" w:color="auto" w:fill="FFFFFF"/>
        </w:rPr>
        <w:t>,</w:t>
      </w:r>
      <w:r w:rsidRPr="00A40B65">
        <w:rPr>
          <w:sz w:val="28"/>
          <w:szCs w:val="28"/>
          <w:shd w:val="clear" w:color="auto" w:fill="FFFFFF"/>
        </w:rPr>
        <w:t xml:space="preserve"> визначає механізм застосування КРАІЛ фінансових санкцій (штрафів), передбачених </w:t>
      </w:r>
      <w:hyperlink r:id="rId7" w:anchor="n968" w:tgtFrame="_blank" w:history="1">
        <w:r w:rsidRPr="00A40B65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статтями 58</w:t>
        </w:r>
      </w:hyperlink>
      <w:r w:rsidRPr="00A40B65">
        <w:rPr>
          <w:sz w:val="28"/>
          <w:szCs w:val="28"/>
          <w:shd w:val="clear" w:color="auto" w:fill="FFFFFF"/>
        </w:rPr>
        <w:t xml:space="preserve"> та </w:t>
      </w:r>
      <w:hyperlink r:id="rId8" w:anchor="n990" w:tgtFrame="_blank" w:history="1">
        <w:r w:rsidRPr="00A40B65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59</w:t>
        </w:r>
      </w:hyperlink>
      <w:r w:rsidRPr="00A40B65">
        <w:rPr>
          <w:sz w:val="28"/>
          <w:szCs w:val="28"/>
          <w:shd w:val="clear" w:color="auto" w:fill="FFFFFF"/>
        </w:rPr>
        <w:t xml:space="preserve"> Закону України </w:t>
      </w:r>
      <w:r w:rsidR="00E14B66">
        <w:rPr>
          <w:sz w:val="28"/>
          <w:szCs w:val="28"/>
          <w:shd w:val="clear" w:color="auto" w:fill="FFFFFF"/>
        </w:rPr>
        <w:t>«</w:t>
      </w:r>
      <w:r w:rsidRPr="00A40B65">
        <w:rPr>
          <w:sz w:val="28"/>
          <w:szCs w:val="28"/>
          <w:shd w:val="clear" w:color="auto" w:fill="FFFFFF"/>
        </w:rPr>
        <w:t>Про державне регулювання діяльності щодо організації та проведення азартних ігор</w:t>
      </w:r>
      <w:r w:rsidR="00E14B6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14:paraId="01C29C13" w14:textId="4DA86669" w:rsidR="00A40B65" w:rsidRDefault="00A40B65" w:rsidP="00A40B65">
      <w:pPr>
        <w:ind w:firstLine="567"/>
        <w:jc w:val="both"/>
        <w:rPr>
          <w:sz w:val="28"/>
          <w:szCs w:val="28"/>
        </w:rPr>
      </w:pPr>
      <w:r w:rsidRPr="00A40B65">
        <w:rPr>
          <w:sz w:val="28"/>
          <w:szCs w:val="28"/>
        </w:rPr>
        <w:lastRenderedPageBreak/>
        <w:t>Статтями 58 та 59 Закону передбачені фінансові санкції (штрафи) за порушення законодавства України у сфері організації та проведення азартних</w:t>
      </w:r>
      <w:r>
        <w:rPr>
          <w:sz w:val="28"/>
          <w:szCs w:val="28"/>
        </w:rPr>
        <w:t xml:space="preserve"> </w:t>
      </w:r>
      <w:r w:rsidRPr="00A40B65">
        <w:rPr>
          <w:sz w:val="28"/>
          <w:szCs w:val="28"/>
        </w:rPr>
        <w:t xml:space="preserve">ігор </w:t>
      </w:r>
      <w:r w:rsidR="008A06E7">
        <w:rPr>
          <w:sz w:val="28"/>
          <w:szCs w:val="28"/>
        </w:rPr>
        <w:t>і</w:t>
      </w:r>
      <w:r w:rsidRPr="00A40B65">
        <w:rPr>
          <w:sz w:val="28"/>
          <w:szCs w:val="28"/>
        </w:rPr>
        <w:t xml:space="preserve"> про рекламу азартних ігор та організаторів азартних ігор</w:t>
      </w:r>
      <w:r>
        <w:rPr>
          <w:sz w:val="28"/>
          <w:szCs w:val="28"/>
        </w:rPr>
        <w:t>.</w:t>
      </w:r>
    </w:p>
    <w:p w14:paraId="0535D69B" w14:textId="52863E96" w:rsidR="00DA596B" w:rsidRPr="00A40B65" w:rsidRDefault="00A40B65" w:rsidP="00A25A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цього, прийнято Закон про адміністративну процедуру, який </w:t>
      </w:r>
      <w:r w:rsidR="00DA596B" w:rsidRPr="00A40B65">
        <w:rPr>
          <w:sz w:val="28"/>
          <w:szCs w:val="28"/>
        </w:rPr>
        <w:t>регулює відносини органів виконавчої влади, органів влади Автономної Республіки Крим, органів місцевого самоврядування, їх посадових осіб, інших суб’єктів, які відповідно до закону уповноважені здійснювати функції публічної адміністрації, з фізичними та юридичними особами щодо розгляду і вирішення адміністративних справ у дусі визначеної Конституцією України демократичної та правової держави та з метою забезпечення права і закону, а також зобов’язання держави забезпечувати і захищати права, свободи чи законні інтереси людини і громадянина.</w:t>
      </w:r>
    </w:p>
    <w:p w14:paraId="429B99D2" w14:textId="532D06D4" w:rsidR="00DC4364" w:rsidRPr="00DA596B" w:rsidRDefault="00DC4364" w:rsidP="00A25AC3">
      <w:pPr>
        <w:suppressLineNumber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A596B">
        <w:rPr>
          <w:sz w:val="28"/>
          <w:szCs w:val="28"/>
        </w:rPr>
        <w:t xml:space="preserve">Враховуючи вищевикладене, виникла необхідність у розробленні проєкту </w:t>
      </w:r>
      <w:r w:rsidR="00A40B65" w:rsidRPr="00A40B65">
        <w:rPr>
          <w:sz w:val="28"/>
          <w:szCs w:val="28"/>
        </w:rPr>
        <w:t>постанови Кабінету Міністрів України «Про внесення змін до Порядку застосування Комісією з регулювання азартних ігор та лотерей фінансових санкцій (штрафів)»</w:t>
      </w:r>
      <w:r w:rsidRPr="00DA596B">
        <w:rPr>
          <w:color w:val="000000"/>
          <w:sz w:val="28"/>
          <w:szCs w:val="28"/>
          <w:shd w:val="clear" w:color="auto" w:fill="FFFFFF"/>
        </w:rPr>
        <w:t>.</w:t>
      </w:r>
    </w:p>
    <w:p w14:paraId="216D8ABF" w14:textId="77777777" w:rsidR="00CD3F4D" w:rsidRPr="00DA596B" w:rsidRDefault="00CD3F4D" w:rsidP="00A25AC3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</w:p>
    <w:p w14:paraId="02707311" w14:textId="77777777" w:rsidR="00335710" w:rsidRPr="00DA596B" w:rsidRDefault="00741837" w:rsidP="00A25AC3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DA596B">
        <w:rPr>
          <w:rFonts w:eastAsia="Times New Roman"/>
          <w:b/>
          <w:bCs/>
          <w:sz w:val="28"/>
          <w:szCs w:val="28"/>
          <w:lang w:eastAsia="uk-UA"/>
        </w:rPr>
        <w:t>3. Основні положення проєкту акта</w:t>
      </w:r>
    </w:p>
    <w:p w14:paraId="33E58420" w14:textId="52E79A65" w:rsidR="00BF3398" w:rsidRPr="00E14B66" w:rsidRDefault="001E2341" w:rsidP="00E14B66">
      <w:pPr>
        <w:suppressAutoHyphens/>
        <w:ind w:firstLine="567"/>
        <w:jc w:val="both"/>
        <w:rPr>
          <w:sz w:val="28"/>
          <w:szCs w:val="28"/>
          <w:lang w:eastAsia="ru-RU"/>
        </w:rPr>
      </w:pPr>
      <w:bookmarkStart w:id="4" w:name="n1981"/>
      <w:bookmarkEnd w:id="4"/>
      <w:r w:rsidRPr="00E14B66">
        <w:rPr>
          <w:sz w:val="28"/>
          <w:szCs w:val="28"/>
          <w:lang w:eastAsia="ru-RU"/>
        </w:rPr>
        <w:t xml:space="preserve">Проєктом пропонується </w:t>
      </w:r>
      <w:r w:rsidR="009A17B0" w:rsidRPr="00E14B66">
        <w:rPr>
          <w:sz w:val="28"/>
          <w:szCs w:val="28"/>
          <w:lang w:eastAsia="ru-RU"/>
        </w:rPr>
        <w:t>в</w:t>
      </w:r>
      <w:r w:rsidRPr="00E14B66">
        <w:rPr>
          <w:sz w:val="28"/>
          <w:szCs w:val="28"/>
          <w:lang w:eastAsia="ru-RU"/>
        </w:rPr>
        <w:t xml:space="preserve">нести зміни до </w:t>
      </w:r>
      <w:r w:rsidR="00E14B66" w:rsidRPr="00E14B66">
        <w:rPr>
          <w:sz w:val="28"/>
          <w:szCs w:val="28"/>
          <w:lang w:eastAsia="uk-UA"/>
        </w:rPr>
        <w:t>Порядку</w:t>
      </w:r>
      <w:r w:rsidRPr="00E14B66">
        <w:rPr>
          <w:sz w:val="28"/>
          <w:szCs w:val="28"/>
          <w:lang w:eastAsia="ru-RU"/>
        </w:rPr>
        <w:t>.</w:t>
      </w:r>
    </w:p>
    <w:p w14:paraId="5E88DDC6" w14:textId="5E624FC9" w:rsidR="00E14B66" w:rsidRPr="00E14B66" w:rsidRDefault="00BF3398" w:rsidP="00E14B66">
      <w:pPr>
        <w:suppressAutoHyphens/>
        <w:ind w:firstLine="567"/>
        <w:jc w:val="both"/>
        <w:rPr>
          <w:rStyle w:val="rvts9"/>
          <w:color w:val="000000"/>
          <w:sz w:val="28"/>
          <w:szCs w:val="28"/>
        </w:rPr>
      </w:pPr>
      <w:r w:rsidRPr="00E14B66">
        <w:rPr>
          <w:sz w:val="28"/>
          <w:szCs w:val="28"/>
          <w:lang w:eastAsia="ru-RU"/>
        </w:rPr>
        <w:t xml:space="preserve">Зокрема, </w:t>
      </w:r>
      <w:r w:rsidR="00E14B66" w:rsidRPr="00E14B66">
        <w:rPr>
          <w:sz w:val="28"/>
          <w:szCs w:val="28"/>
          <w:lang w:eastAsia="ru-RU"/>
        </w:rPr>
        <w:t>встановити, що ц</w:t>
      </w:r>
      <w:r w:rsidR="00E14B66" w:rsidRPr="00E14B66">
        <w:rPr>
          <w:color w:val="000000"/>
          <w:sz w:val="28"/>
          <w:szCs w:val="28"/>
          <w:shd w:val="clear" w:color="auto" w:fill="FFFFFF"/>
        </w:rPr>
        <w:t xml:space="preserve">ей Порядок визначає механізм застосування КРАІЛ фінансових санкцій (штрафів), передбачених статтями 58 та 59 Закону України «Про державне регулювання діяльності щодо організації та проведення азартних ігор», у тому числі </w:t>
      </w:r>
      <w:r w:rsidR="00E14B66" w:rsidRPr="00E14B66">
        <w:rPr>
          <w:rStyle w:val="rvts9"/>
          <w:color w:val="000000"/>
          <w:sz w:val="28"/>
          <w:szCs w:val="28"/>
        </w:rPr>
        <w:t xml:space="preserve">за порушення законодавства про рекламу у сфері організації та проведення азартних ігор. </w:t>
      </w:r>
    </w:p>
    <w:p w14:paraId="7412898B" w14:textId="19BA2667" w:rsidR="00E14B66" w:rsidRPr="00E14B66" w:rsidRDefault="00E14B66" w:rsidP="00E14B66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14B66">
        <w:rPr>
          <w:color w:val="000000"/>
          <w:sz w:val="28"/>
          <w:szCs w:val="28"/>
          <w:shd w:val="clear" w:color="auto" w:fill="FFFFFF"/>
        </w:rPr>
        <w:t>Також передбачити, що інші терміни в цьому Порядку вживаються у значенні, наведеному</w:t>
      </w:r>
      <w:r w:rsidR="008A06E7">
        <w:rPr>
          <w:color w:val="000000"/>
          <w:sz w:val="28"/>
          <w:szCs w:val="28"/>
          <w:shd w:val="clear" w:color="auto" w:fill="FFFFFF"/>
        </w:rPr>
        <w:t>,</w:t>
      </w:r>
      <w:r w:rsidRPr="00E14B66">
        <w:rPr>
          <w:color w:val="000000"/>
          <w:sz w:val="28"/>
          <w:szCs w:val="28"/>
          <w:shd w:val="clear" w:color="auto" w:fill="FFFFFF"/>
        </w:rPr>
        <w:t xml:space="preserve"> зокрема</w:t>
      </w:r>
      <w:r w:rsidR="008A06E7">
        <w:rPr>
          <w:color w:val="000000"/>
          <w:sz w:val="28"/>
          <w:szCs w:val="28"/>
          <w:shd w:val="clear" w:color="auto" w:fill="FFFFFF"/>
        </w:rPr>
        <w:t>,</w:t>
      </w:r>
      <w:r w:rsidRPr="00E14B66">
        <w:rPr>
          <w:color w:val="000000"/>
          <w:sz w:val="28"/>
          <w:szCs w:val="28"/>
          <w:shd w:val="clear" w:color="auto" w:fill="FFFFFF"/>
        </w:rPr>
        <w:t xml:space="preserve"> і в Законі про адміністративну процедуру.</w:t>
      </w:r>
    </w:p>
    <w:p w14:paraId="53D7A131" w14:textId="3B40209D" w:rsidR="00E14B66" w:rsidRPr="00753B06" w:rsidRDefault="00E14B66" w:rsidP="00E14B66">
      <w:pPr>
        <w:pStyle w:val="rvps2"/>
        <w:shd w:val="clear" w:color="auto" w:fill="FFFFFF"/>
        <w:spacing w:beforeAutospacing="0" w:afterAutospacing="0"/>
        <w:ind w:firstLine="567"/>
        <w:jc w:val="both"/>
        <w:rPr>
          <w:rStyle w:val="rvts9"/>
          <w:sz w:val="28"/>
          <w:szCs w:val="28"/>
        </w:rPr>
      </w:pPr>
      <w:r w:rsidRPr="00753B06">
        <w:rPr>
          <w:rStyle w:val="rvts9"/>
          <w:sz w:val="28"/>
          <w:szCs w:val="28"/>
        </w:rPr>
        <w:t xml:space="preserve">Крім цього, доповнити Порядок підставою для прийняття рішення КРАІЛ про застосування фінансових санкцій (штрафів) до організаторів азартних ігор та інших суб’єктів господарювання у випадках, передбачених Законом, а саме </w:t>
      </w:r>
      <w:r w:rsidRPr="00753B06">
        <w:rPr>
          <w:sz w:val="28"/>
          <w:szCs w:val="28"/>
        </w:rPr>
        <w:t>висновком про порушення законодавства про рекламу у сфері організації та проведення азартних ігор</w:t>
      </w:r>
      <w:r w:rsidR="008A06E7">
        <w:rPr>
          <w:sz w:val="28"/>
          <w:szCs w:val="28"/>
        </w:rPr>
        <w:t>,</w:t>
      </w:r>
      <w:r w:rsidRPr="00753B06">
        <w:rPr>
          <w:sz w:val="28"/>
          <w:szCs w:val="28"/>
        </w:rPr>
        <w:t xml:space="preserve"> </w:t>
      </w:r>
      <w:r w:rsidR="00753B06" w:rsidRPr="00753B06">
        <w:rPr>
          <w:sz w:val="28"/>
          <w:szCs w:val="28"/>
        </w:rPr>
        <w:t>і</w:t>
      </w:r>
      <w:r w:rsidRPr="00753B06">
        <w:rPr>
          <w:sz w:val="28"/>
          <w:szCs w:val="28"/>
        </w:rPr>
        <w:t xml:space="preserve"> уточнити строк надсилання (вручення) </w:t>
      </w:r>
      <w:r w:rsidRPr="00753B06">
        <w:rPr>
          <w:rStyle w:val="rvts9"/>
          <w:sz w:val="28"/>
          <w:szCs w:val="28"/>
        </w:rPr>
        <w:t xml:space="preserve">КРАІЛ організаторам азартних ігор або іншим суб’єктам господарювання повідомлення про розгляд питання щодо застосування фінансових санкцій (штрафів) разом </w:t>
      </w:r>
      <w:r w:rsidR="008A06E7">
        <w:rPr>
          <w:rStyle w:val="rvts9"/>
          <w:sz w:val="28"/>
          <w:szCs w:val="28"/>
        </w:rPr>
        <w:t xml:space="preserve">з </w:t>
      </w:r>
      <w:r w:rsidRPr="00753B06">
        <w:rPr>
          <w:rStyle w:val="rvts9"/>
          <w:sz w:val="28"/>
          <w:szCs w:val="28"/>
        </w:rPr>
        <w:t>відповідними документами.</w:t>
      </w:r>
    </w:p>
    <w:p w14:paraId="1905693E" w14:textId="77777777" w:rsidR="00753B06" w:rsidRDefault="00753B06" w:rsidP="00A25AC3">
      <w:pPr>
        <w:pStyle w:val="HTML"/>
        <w:suppressAutoHyphens/>
        <w:spacing w:after="0" w:line="20" w:lineRule="atLeast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2DBBBF" w14:textId="6B3CDD5F" w:rsidR="00335710" w:rsidRPr="00DA596B" w:rsidRDefault="00741837" w:rsidP="00A25AC3">
      <w:pPr>
        <w:pStyle w:val="HTML"/>
        <w:suppressAutoHyphens/>
        <w:spacing w:after="0" w:line="20" w:lineRule="atLeast"/>
        <w:ind w:firstLine="567"/>
        <w:rPr>
          <w:rFonts w:ascii="Times New Roman" w:hAnsi="Times New Roman"/>
          <w:sz w:val="28"/>
          <w:szCs w:val="28"/>
        </w:rPr>
      </w:pPr>
      <w:r w:rsidRPr="00DA5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578873FD" w14:textId="77777777" w:rsidR="000C6F4B" w:rsidRPr="00DA596B" w:rsidRDefault="000C6F4B" w:rsidP="00A25AC3">
      <w:pPr>
        <w:pStyle w:val="ae"/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596B">
        <w:rPr>
          <w:rFonts w:eastAsia="Times New Roman"/>
          <w:sz w:val="28"/>
          <w:szCs w:val="28"/>
          <w:lang w:eastAsia="ru-RU"/>
        </w:rPr>
        <w:t>У даній сфері суспільних відносин діють такі нормативно-правові акти:</w:t>
      </w:r>
    </w:p>
    <w:p w14:paraId="22564C90" w14:textId="047971A8" w:rsidR="000F12D7" w:rsidRPr="00DA596B" w:rsidRDefault="001E49B9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DA596B">
        <w:rPr>
          <w:rFonts w:eastAsia="Times New Roman"/>
          <w:sz w:val="28"/>
          <w:szCs w:val="28"/>
        </w:rPr>
        <w:t xml:space="preserve">Закон України «Про </w:t>
      </w:r>
      <w:r w:rsidR="00A12A71" w:rsidRPr="00DA596B">
        <w:rPr>
          <w:rFonts w:eastAsia="Times New Roman"/>
          <w:sz w:val="28"/>
          <w:szCs w:val="28"/>
        </w:rPr>
        <w:t>адміністративну процедуру</w:t>
      </w:r>
      <w:r w:rsidRPr="00DA596B">
        <w:rPr>
          <w:rFonts w:eastAsia="Times New Roman"/>
          <w:sz w:val="28"/>
          <w:szCs w:val="28"/>
        </w:rPr>
        <w:t>»</w:t>
      </w:r>
      <w:r w:rsidR="000F12D7" w:rsidRPr="00DA596B">
        <w:rPr>
          <w:sz w:val="28"/>
          <w:szCs w:val="28"/>
          <w:lang w:eastAsia="uk-UA"/>
        </w:rPr>
        <w:t>;</w:t>
      </w:r>
    </w:p>
    <w:p w14:paraId="49736BA4" w14:textId="4838A5C9" w:rsidR="00A14088" w:rsidRPr="00DA596B" w:rsidRDefault="000C6F4B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DA596B">
        <w:rPr>
          <w:sz w:val="28"/>
          <w:szCs w:val="28"/>
          <w:lang w:eastAsia="uk-UA"/>
        </w:rPr>
        <w:t>Закон України «</w:t>
      </w:r>
      <w:r w:rsidR="007C59A0" w:rsidRPr="00DA596B">
        <w:rPr>
          <w:sz w:val="28"/>
          <w:szCs w:val="28"/>
          <w:lang w:eastAsia="uk-UA"/>
        </w:rPr>
        <w:t>Про рекламу</w:t>
      </w:r>
      <w:r w:rsidRPr="00DA596B">
        <w:rPr>
          <w:sz w:val="28"/>
          <w:szCs w:val="28"/>
          <w:lang w:eastAsia="uk-UA"/>
        </w:rPr>
        <w:t>»</w:t>
      </w:r>
      <w:r w:rsidR="00A14088" w:rsidRPr="00DA596B">
        <w:rPr>
          <w:sz w:val="28"/>
          <w:szCs w:val="28"/>
          <w:lang w:eastAsia="uk-UA"/>
        </w:rPr>
        <w:t>;</w:t>
      </w:r>
    </w:p>
    <w:p w14:paraId="0F28C90A" w14:textId="5AAB3450" w:rsidR="007C59A0" w:rsidRPr="00DA596B" w:rsidRDefault="007C59A0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DA596B">
        <w:rPr>
          <w:sz w:val="28"/>
          <w:szCs w:val="28"/>
          <w:lang w:eastAsia="uk-UA"/>
        </w:rPr>
        <w:t>Закон України «Про державне регулювання діяльності щодо організації та проведення азартних ігор»;</w:t>
      </w:r>
    </w:p>
    <w:p w14:paraId="6E236B0F" w14:textId="77777777" w:rsidR="00A14088" w:rsidRPr="00DA596B" w:rsidRDefault="00A14088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DA596B">
        <w:rPr>
          <w:sz w:val="28"/>
          <w:szCs w:val="28"/>
          <w:lang w:eastAsia="uk-UA"/>
        </w:rPr>
        <w:lastRenderedPageBreak/>
        <w:t>Закон України «Про основні засади державного нагляду (контролю) у сфері господарської діяльності»;</w:t>
      </w:r>
    </w:p>
    <w:p w14:paraId="56EF793E" w14:textId="765F31E3" w:rsidR="00040426" w:rsidRPr="00DA596B" w:rsidRDefault="00040426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DA596B">
        <w:rPr>
          <w:sz w:val="28"/>
          <w:szCs w:val="28"/>
          <w:lang w:eastAsia="uk-UA"/>
        </w:rPr>
        <w:t>Закон України «</w:t>
      </w:r>
      <w:r w:rsidR="007C59A0" w:rsidRPr="00DA596B">
        <w:rPr>
          <w:sz w:val="28"/>
          <w:szCs w:val="28"/>
          <w:lang w:eastAsia="uk-UA"/>
        </w:rPr>
        <w:t>Про внесення змін до Закону України «Про рекламу»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(Європейської конвенції про транскордонне телебачення, Директиви Європейського парламенту та Ради 2010/13/ЄС про аудіовізуальні медіапослуги від 10 березня 2010 року із змінами, внесеними Директивою (ЄС) 2018/1808 від 14 листопада 2018 року)»</w:t>
      </w:r>
      <w:r w:rsidR="00D95A1C" w:rsidRPr="00DA596B">
        <w:rPr>
          <w:sz w:val="28"/>
          <w:szCs w:val="28"/>
          <w:lang w:eastAsia="uk-UA"/>
        </w:rPr>
        <w:t>;</w:t>
      </w:r>
    </w:p>
    <w:p w14:paraId="3C4D43D6" w14:textId="79EF0A7D" w:rsidR="00D95A1C" w:rsidRPr="00DA596B" w:rsidRDefault="00D95A1C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DA596B">
        <w:rPr>
          <w:sz w:val="28"/>
          <w:szCs w:val="28"/>
          <w:lang w:eastAsia="uk-UA"/>
        </w:rPr>
        <w:t>Порядок застосування Комісією з регулювання азартних ігор та лотерей фінансових санкцій (штрафів), затверджений постановою Кабінету Міністрів України від 09 лютого 2022 р</w:t>
      </w:r>
      <w:r w:rsidR="00C53261">
        <w:rPr>
          <w:sz w:val="28"/>
          <w:szCs w:val="28"/>
          <w:lang w:eastAsia="uk-UA"/>
        </w:rPr>
        <w:t>оку</w:t>
      </w:r>
      <w:r w:rsidRPr="00DA596B">
        <w:rPr>
          <w:sz w:val="28"/>
          <w:szCs w:val="28"/>
          <w:lang w:eastAsia="uk-UA"/>
        </w:rPr>
        <w:t xml:space="preserve"> № 101.</w:t>
      </w:r>
    </w:p>
    <w:p w14:paraId="0FE7AD18" w14:textId="77777777" w:rsidR="00335710" w:rsidRPr="00DA596B" w:rsidRDefault="00335710" w:rsidP="00A25AC3">
      <w:pPr>
        <w:suppressAutoHyphens/>
        <w:ind w:firstLine="567"/>
        <w:jc w:val="both"/>
        <w:rPr>
          <w:sz w:val="28"/>
          <w:szCs w:val="28"/>
          <w:lang w:eastAsia="uk-UA"/>
        </w:rPr>
      </w:pPr>
    </w:p>
    <w:p w14:paraId="45E82F29" w14:textId="77777777" w:rsidR="00335710" w:rsidRPr="00DA596B" w:rsidRDefault="00741837" w:rsidP="00A25AC3">
      <w:pPr>
        <w:suppressAutoHyphens/>
        <w:ind w:firstLine="567"/>
        <w:jc w:val="both"/>
        <w:rPr>
          <w:sz w:val="28"/>
          <w:szCs w:val="28"/>
        </w:rPr>
      </w:pPr>
      <w:r w:rsidRPr="00DA596B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14:paraId="2172AE98" w14:textId="263003CC" w:rsidR="00335710" w:rsidRPr="00DA596B" w:rsidRDefault="00A03CF0" w:rsidP="00A25AC3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DA596B">
        <w:rPr>
          <w:rFonts w:eastAsia="Times New Roman"/>
          <w:sz w:val="28"/>
          <w:szCs w:val="28"/>
        </w:rPr>
        <w:t xml:space="preserve">Реалізація проєкту не потребує додаткових фінансових витрат </w:t>
      </w:r>
      <w:r w:rsidR="008A06E7">
        <w:rPr>
          <w:rFonts w:eastAsia="Times New Roman"/>
          <w:sz w:val="28"/>
          <w:szCs w:val="28"/>
        </w:rPr>
        <w:t>і</w:t>
      </w:r>
      <w:r w:rsidRPr="00DA596B">
        <w:rPr>
          <w:rFonts w:eastAsia="Times New Roman"/>
          <w:sz w:val="28"/>
          <w:szCs w:val="28"/>
        </w:rPr>
        <w:t>з Державного та місцевих бюджетів України.</w:t>
      </w:r>
    </w:p>
    <w:p w14:paraId="435F6927" w14:textId="77777777" w:rsidR="00A03CF0" w:rsidRPr="00DA596B" w:rsidRDefault="00A03CF0" w:rsidP="00A25AC3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</w:p>
    <w:p w14:paraId="7AA76E55" w14:textId="77777777" w:rsidR="00335710" w:rsidRPr="00DA596B" w:rsidRDefault="00741837" w:rsidP="00A25AC3">
      <w:pPr>
        <w:tabs>
          <w:tab w:val="left" w:pos="0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  <w:r w:rsidRPr="00DA596B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14:paraId="0440B2A3" w14:textId="6860BAA9" w:rsidR="002B4AAA" w:rsidRPr="00DA596B" w:rsidRDefault="003D3CC5" w:rsidP="00753B06">
      <w:pPr>
        <w:pStyle w:val="rvps2"/>
        <w:shd w:val="clear" w:color="auto" w:fill="FFFFFF"/>
        <w:suppressAutoHyphens/>
        <w:spacing w:beforeAutospacing="0" w:afterAutospacing="0"/>
        <w:ind w:firstLine="567"/>
        <w:jc w:val="both"/>
        <w:rPr>
          <w:sz w:val="28"/>
          <w:szCs w:val="28"/>
        </w:rPr>
      </w:pPr>
      <w:r w:rsidRPr="00DA596B">
        <w:rPr>
          <w:sz w:val="28"/>
          <w:szCs w:val="28"/>
        </w:rPr>
        <w:t xml:space="preserve">Проєкт потребує </w:t>
      </w:r>
      <w:r w:rsidR="00993790" w:rsidRPr="00DA596B">
        <w:rPr>
          <w:sz w:val="28"/>
          <w:szCs w:val="28"/>
        </w:rPr>
        <w:t xml:space="preserve">погодження з </w:t>
      </w:r>
      <w:r w:rsidR="00B45B22" w:rsidRPr="00DA596B">
        <w:rPr>
          <w:sz w:val="28"/>
          <w:szCs w:val="28"/>
        </w:rPr>
        <w:t xml:space="preserve">Міністерством фінансів України, </w:t>
      </w:r>
      <w:r w:rsidR="00891235" w:rsidRPr="00DA596B">
        <w:rPr>
          <w:sz w:val="28"/>
          <w:szCs w:val="28"/>
        </w:rPr>
        <w:t>Міністерством</w:t>
      </w:r>
      <w:r w:rsidR="00B45B22" w:rsidRPr="00DA596B">
        <w:rPr>
          <w:sz w:val="28"/>
          <w:szCs w:val="28"/>
        </w:rPr>
        <w:t xml:space="preserve"> економіки України, </w:t>
      </w:r>
      <w:r w:rsidR="00116702" w:rsidRPr="00DA596B">
        <w:rPr>
          <w:sz w:val="28"/>
          <w:szCs w:val="28"/>
        </w:rPr>
        <w:t xml:space="preserve">Міністерством цифрової трансформації України, </w:t>
      </w:r>
      <w:r w:rsidR="00753B06">
        <w:rPr>
          <w:sz w:val="28"/>
          <w:szCs w:val="28"/>
        </w:rPr>
        <w:t>Державною регуляторною службою України,</w:t>
      </w:r>
      <w:r w:rsidR="00753B06" w:rsidRPr="00753B06">
        <w:rPr>
          <w:sz w:val="28"/>
          <w:szCs w:val="28"/>
        </w:rPr>
        <w:t xml:space="preserve"> </w:t>
      </w:r>
      <w:r w:rsidR="00753B06" w:rsidRPr="00DA596B">
        <w:rPr>
          <w:sz w:val="28"/>
          <w:szCs w:val="28"/>
        </w:rPr>
        <w:t>Національним агентством з питань запобігання корупції</w:t>
      </w:r>
      <w:r w:rsidR="00753B06">
        <w:rPr>
          <w:sz w:val="28"/>
          <w:szCs w:val="28"/>
        </w:rPr>
        <w:t xml:space="preserve"> та проведення правової експертизи </w:t>
      </w:r>
      <w:r w:rsidR="00B45B22" w:rsidRPr="00DA596B">
        <w:rPr>
          <w:sz w:val="28"/>
          <w:szCs w:val="28"/>
        </w:rPr>
        <w:t>Міністерством юстиції України</w:t>
      </w:r>
      <w:r w:rsidR="00753B06">
        <w:rPr>
          <w:sz w:val="28"/>
          <w:szCs w:val="28"/>
        </w:rPr>
        <w:t>.</w:t>
      </w:r>
      <w:r w:rsidR="00B45B22" w:rsidRPr="00DA596B">
        <w:rPr>
          <w:sz w:val="28"/>
          <w:szCs w:val="28"/>
        </w:rPr>
        <w:t xml:space="preserve"> </w:t>
      </w:r>
    </w:p>
    <w:p w14:paraId="60DF0DE3" w14:textId="77777777" w:rsidR="00993790" w:rsidRPr="00DA596B" w:rsidRDefault="00993790" w:rsidP="00A25AC3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DA596B">
        <w:rPr>
          <w:rFonts w:eastAsia="Times New Roman"/>
          <w:sz w:val="28"/>
          <w:szCs w:val="28"/>
          <w:lang w:eastAsia="uk-UA"/>
        </w:rPr>
        <w:t>Проєкт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самоврядування, уповноваженими представниками всеукраїнських профспілок, їх об’єднаннями та всеукраїнськими об’єднаннями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спілками, Уповноваженим із захисту державної мови.</w:t>
      </w:r>
    </w:p>
    <w:p w14:paraId="6824ABAF" w14:textId="77777777" w:rsidR="00993790" w:rsidRPr="00DA596B" w:rsidRDefault="00993790" w:rsidP="00A25AC3">
      <w:pPr>
        <w:ind w:firstLine="567"/>
        <w:jc w:val="both"/>
        <w:rPr>
          <w:sz w:val="28"/>
          <w:szCs w:val="28"/>
        </w:rPr>
      </w:pPr>
      <w:r w:rsidRPr="00DA596B">
        <w:rPr>
          <w:sz w:val="28"/>
          <w:szCs w:val="28"/>
        </w:rPr>
        <w:t>Проєкт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14:paraId="53785746" w14:textId="77777777" w:rsidR="00335710" w:rsidRPr="00DA596B" w:rsidRDefault="00741837" w:rsidP="00A25AC3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567"/>
        <w:jc w:val="both"/>
        <w:rPr>
          <w:sz w:val="28"/>
          <w:szCs w:val="28"/>
        </w:rPr>
      </w:pPr>
      <w:r w:rsidRPr="00DA596B">
        <w:rPr>
          <w:sz w:val="28"/>
          <w:szCs w:val="28"/>
        </w:rPr>
        <w:t>Проєкт</w:t>
      </w:r>
      <w:r w:rsidR="003D3CC5" w:rsidRPr="00DA596B">
        <w:rPr>
          <w:sz w:val="28"/>
          <w:szCs w:val="28"/>
        </w:rPr>
        <w:t xml:space="preserve"> буде</w:t>
      </w:r>
      <w:r w:rsidRPr="00DA596B">
        <w:rPr>
          <w:sz w:val="28"/>
          <w:szCs w:val="28"/>
        </w:rPr>
        <w:t xml:space="preserve"> оприлюднено  на офіційному вебсайті </w:t>
      </w:r>
      <w:r w:rsidRPr="00DA596B">
        <w:rPr>
          <w:color w:val="000000"/>
          <w:sz w:val="28"/>
          <w:szCs w:val="28"/>
        </w:rPr>
        <w:t>КРАІЛ</w:t>
      </w:r>
      <w:r w:rsidRPr="00DA596B">
        <w:rPr>
          <w:sz w:val="28"/>
          <w:szCs w:val="28"/>
        </w:rPr>
        <w:t xml:space="preserve"> (https://gc.gov.ua) з метою отримання зауважень та пропозицій до нього. </w:t>
      </w:r>
    </w:p>
    <w:p w14:paraId="4AB90BBE" w14:textId="77777777" w:rsidR="00335710" w:rsidRDefault="00335710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bookmarkStart w:id="5" w:name="n1990"/>
      <w:bookmarkStart w:id="6" w:name="n1992"/>
      <w:bookmarkStart w:id="7" w:name="n1993"/>
      <w:bookmarkStart w:id="8" w:name="n1994"/>
      <w:bookmarkStart w:id="9" w:name="n1997"/>
      <w:bookmarkEnd w:id="5"/>
      <w:bookmarkEnd w:id="6"/>
      <w:bookmarkEnd w:id="7"/>
      <w:bookmarkEnd w:id="8"/>
      <w:bookmarkEnd w:id="9"/>
    </w:p>
    <w:p w14:paraId="4D2161A4" w14:textId="77777777" w:rsidR="00C53261" w:rsidRPr="00DA596B" w:rsidRDefault="00C53261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</w:p>
    <w:p w14:paraId="380466C5" w14:textId="77777777" w:rsidR="00335710" w:rsidRPr="00DA596B" w:rsidRDefault="00741837" w:rsidP="00A25AC3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DA596B">
        <w:rPr>
          <w:rFonts w:eastAsia="Times New Roman"/>
          <w:b/>
          <w:color w:val="333333"/>
          <w:sz w:val="28"/>
          <w:szCs w:val="28"/>
        </w:rPr>
        <w:lastRenderedPageBreak/>
        <w:t>7. Оцінка відповідності</w:t>
      </w:r>
    </w:p>
    <w:p w14:paraId="117787E2" w14:textId="77777777" w:rsidR="00C35C26" w:rsidRPr="00C35C26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35C26">
        <w:rPr>
          <w:rFonts w:eastAsia="Times New Roman"/>
          <w:sz w:val="28"/>
          <w:szCs w:val="28"/>
        </w:rPr>
        <w:t>Проєкт не містить положень, що стосуються зобов’язань України у сфері європейської інтеграції.</w:t>
      </w:r>
    </w:p>
    <w:p w14:paraId="31A4AFFC" w14:textId="77777777" w:rsidR="00C35C26" w:rsidRPr="00C35C26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35C26">
        <w:rPr>
          <w:rFonts w:eastAsia="Times New Roman"/>
          <w:sz w:val="28"/>
          <w:szCs w:val="28"/>
        </w:rPr>
        <w:t>Проєкт не містить положень, що стосуються прав та свобод, гарантованих Конвенцією про захист прав людини і основоположних свобод.</w:t>
      </w:r>
    </w:p>
    <w:p w14:paraId="160029F2" w14:textId="77777777" w:rsidR="00C35C26" w:rsidRPr="00C35C26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35C26">
        <w:rPr>
          <w:rFonts w:eastAsia="Times New Roman"/>
          <w:sz w:val="28"/>
          <w:szCs w:val="28"/>
        </w:rPr>
        <w:t>У Проєкті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гендерно нейтральним.</w:t>
      </w:r>
    </w:p>
    <w:p w14:paraId="1F55E2C3" w14:textId="784575BA" w:rsidR="00C35C26" w:rsidRPr="00C35C26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35C26">
        <w:rPr>
          <w:rFonts w:eastAsia="Times New Roman"/>
          <w:sz w:val="28"/>
          <w:szCs w:val="28"/>
        </w:rPr>
        <w:t xml:space="preserve">У Проєкті відсутні положення, що містять ризики вчинення корупційних правопорушень та правопорушень, </w:t>
      </w:r>
      <w:r w:rsidR="008A06E7" w:rsidRPr="00C35C26">
        <w:rPr>
          <w:rFonts w:eastAsia="Times New Roman"/>
          <w:sz w:val="28"/>
          <w:szCs w:val="28"/>
        </w:rPr>
        <w:t>пов’язаних</w:t>
      </w:r>
      <w:r w:rsidRPr="00C35C26">
        <w:rPr>
          <w:rFonts w:eastAsia="Times New Roman"/>
          <w:sz w:val="28"/>
          <w:szCs w:val="28"/>
        </w:rPr>
        <w:t xml:space="preserve"> із корупцією. Проєкт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14:paraId="3CE90F02" w14:textId="77777777" w:rsidR="00C35C26" w:rsidRPr="00C35C26" w:rsidRDefault="00C35C26" w:rsidP="00C35C26">
      <w:pPr>
        <w:pStyle w:val="a6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bCs/>
          <w:sz w:val="28"/>
          <w:szCs w:val="28"/>
          <w:lang w:eastAsia="uk-UA"/>
        </w:rPr>
      </w:pPr>
      <w:r w:rsidRPr="00C35C26">
        <w:rPr>
          <w:rFonts w:eastAsia="Times New Roman"/>
          <w:bCs/>
          <w:sz w:val="28"/>
          <w:szCs w:val="28"/>
          <w:lang w:eastAsia="uk-UA"/>
        </w:rPr>
        <w:t>У Проєкті відсутні положення, які містять ознаки дискримінації чи створюють підстави для дискримінації. Проєкт не потребує проведення громадської антидискримінаційної експертизи.</w:t>
      </w:r>
    </w:p>
    <w:p w14:paraId="6E3101EB" w14:textId="77777777" w:rsidR="00335710" w:rsidRPr="00DA596B" w:rsidRDefault="00335710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</w:p>
    <w:p w14:paraId="69238D14" w14:textId="77777777" w:rsidR="00335710" w:rsidRPr="00DA596B" w:rsidRDefault="00741837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DA596B">
        <w:rPr>
          <w:b/>
          <w:bCs/>
          <w:color w:val="333333"/>
          <w:sz w:val="28"/>
          <w:szCs w:val="28"/>
          <w:lang w:eastAsia="uk-UA"/>
        </w:rPr>
        <w:t>8. Прогноз результатів</w:t>
      </w:r>
    </w:p>
    <w:p w14:paraId="6B59FD53" w14:textId="1F3B0C96" w:rsidR="00426BEB" w:rsidRPr="00C53261" w:rsidRDefault="00426BEB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C53261">
        <w:rPr>
          <w:rFonts w:eastAsia="Times New Roman"/>
          <w:sz w:val="28"/>
          <w:szCs w:val="28"/>
        </w:rPr>
        <w:t xml:space="preserve">Прийняття проєкту дозволить </w:t>
      </w:r>
      <w:r w:rsidR="00611EBB" w:rsidRPr="00C53261">
        <w:rPr>
          <w:rFonts w:eastAsia="Times New Roman"/>
          <w:sz w:val="28"/>
          <w:szCs w:val="28"/>
        </w:rPr>
        <w:t xml:space="preserve">привести у відповідність Порядок до прийнятих </w:t>
      </w:r>
      <w:r w:rsidRPr="00C53261">
        <w:rPr>
          <w:rFonts w:eastAsia="Times New Roman"/>
          <w:sz w:val="28"/>
          <w:szCs w:val="28"/>
        </w:rPr>
        <w:t>законодавч</w:t>
      </w:r>
      <w:r w:rsidR="00611EBB" w:rsidRPr="00C53261">
        <w:rPr>
          <w:rFonts w:eastAsia="Times New Roman"/>
          <w:sz w:val="28"/>
          <w:szCs w:val="28"/>
        </w:rPr>
        <w:t>их</w:t>
      </w:r>
      <w:r w:rsidRPr="00C53261">
        <w:rPr>
          <w:rFonts w:eastAsia="Times New Roman"/>
          <w:sz w:val="28"/>
          <w:szCs w:val="28"/>
        </w:rPr>
        <w:t xml:space="preserve"> акт</w:t>
      </w:r>
      <w:r w:rsidR="00611EBB" w:rsidRPr="00C53261">
        <w:rPr>
          <w:rFonts w:eastAsia="Times New Roman"/>
          <w:sz w:val="28"/>
          <w:szCs w:val="28"/>
        </w:rPr>
        <w:t>ів</w:t>
      </w:r>
      <w:r w:rsidRPr="00C53261">
        <w:rPr>
          <w:rFonts w:eastAsia="Times New Roman"/>
          <w:sz w:val="28"/>
          <w:szCs w:val="28"/>
        </w:rPr>
        <w:t xml:space="preserve"> України.</w:t>
      </w:r>
    </w:p>
    <w:p w14:paraId="30811E4E" w14:textId="5E17ED06" w:rsidR="00C53261" w:rsidRPr="00C53261" w:rsidRDefault="00C53261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C53261">
        <w:rPr>
          <w:sz w:val="28"/>
          <w:szCs w:val="28"/>
        </w:rPr>
        <w:t>Реалізація проєкту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14:paraId="199DCCA4" w14:textId="64745619" w:rsidR="00C53261" w:rsidRPr="00C53261" w:rsidRDefault="00C53261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C53261">
        <w:rPr>
          <w:sz w:val="28"/>
          <w:szCs w:val="28"/>
        </w:rPr>
        <w:t xml:space="preserve">Реалізація проєкту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 </w:t>
      </w:r>
    </w:p>
    <w:p w14:paraId="6717A1D0" w14:textId="16FF536B" w:rsidR="00C53261" w:rsidRPr="00C53261" w:rsidRDefault="00C53261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C53261">
        <w:rPr>
          <w:sz w:val="28"/>
          <w:szCs w:val="28"/>
        </w:rPr>
        <w:t xml:space="preserve">Прогноз очікуваних результатів реалізації проєкту визначається в якісному вимірі та є позитивним для </w:t>
      </w:r>
      <w:r w:rsidR="008A06E7">
        <w:rPr>
          <w:sz w:val="28"/>
          <w:szCs w:val="28"/>
        </w:rPr>
        <w:t>в</w:t>
      </w:r>
      <w:r w:rsidRPr="00C53261">
        <w:rPr>
          <w:sz w:val="28"/>
          <w:szCs w:val="28"/>
        </w:rPr>
        <w:t>сіх заінтересованих сторін: держави, організаторів азартних ігор</w:t>
      </w:r>
      <w:r w:rsidR="008A06E7">
        <w:rPr>
          <w:sz w:val="28"/>
          <w:szCs w:val="28"/>
        </w:rPr>
        <w:t>,</w:t>
      </w:r>
      <w:r w:rsidRPr="00C53261">
        <w:rPr>
          <w:sz w:val="28"/>
          <w:szCs w:val="28"/>
        </w:rPr>
        <w:t xml:space="preserve"> їх гравців та/або відвідувачів, </w:t>
      </w:r>
      <w:r w:rsidRPr="00C53261">
        <w:rPr>
          <w:sz w:val="28"/>
          <w:szCs w:val="28"/>
          <w:shd w:val="clear" w:color="auto" w:fill="FFFFFF"/>
        </w:rPr>
        <w:t xml:space="preserve">інших суб’єктів господарювання (зокрема рекламодавців, виробників реклами, розповсюджувачів реклами), </w:t>
      </w:r>
      <w:r w:rsidRPr="00C53261">
        <w:rPr>
          <w:sz w:val="28"/>
          <w:szCs w:val="28"/>
        </w:rPr>
        <w:t>а також не містить ризиків під час реалізації положень проєкту.</w:t>
      </w:r>
    </w:p>
    <w:p w14:paraId="620129D1" w14:textId="77777777" w:rsidR="00A801E5" w:rsidRDefault="00A801E5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009A3942" w14:textId="77777777" w:rsidR="00C53261" w:rsidRPr="00C53261" w:rsidRDefault="00C53261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61AE2E0F" w14:textId="389E9A5F" w:rsidR="00335710" w:rsidRPr="00DA596B" w:rsidRDefault="00974FAE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Голова КРАІЛ</w:t>
      </w:r>
      <w:r w:rsidR="00741837" w:rsidRPr="00DA596B">
        <w:rPr>
          <w:rFonts w:eastAsia="Times New Roman"/>
          <w:b/>
          <w:bCs/>
          <w:sz w:val="28"/>
          <w:szCs w:val="28"/>
        </w:rPr>
        <w:t xml:space="preserve">  </w:t>
      </w:r>
      <w:r w:rsidR="00A801E5" w:rsidRPr="00DA596B">
        <w:rPr>
          <w:rFonts w:eastAsia="Times New Roman"/>
          <w:b/>
          <w:bCs/>
          <w:sz w:val="28"/>
          <w:szCs w:val="28"/>
        </w:rPr>
        <w:tab/>
      </w:r>
      <w:r w:rsidR="00A801E5" w:rsidRPr="00DA596B">
        <w:rPr>
          <w:rFonts w:eastAsia="Times New Roman"/>
          <w:b/>
          <w:bCs/>
          <w:sz w:val="28"/>
          <w:szCs w:val="28"/>
        </w:rPr>
        <w:tab/>
        <w:t xml:space="preserve"> </w:t>
      </w:r>
      <w:r w:rsidR="00A801E5" w:rsidRPr="00DA596B">
        <w:rPr>
          <w:rFonts w:eastAsia="Times New Roman"/>
          <w:b/>
          <w:bCs/>
          <w:sz w:val="28"/>
          <w:szCs w:val="28"/>
        </w:rPr>
        <w:tab/>
      </w:r>
      <w:r w:rsidR="00A801E5" w:rsidRPr="00DA596B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                                         Іван РУДИЙ</w:t>
      </w:r>
    </w:p>
    <w:p w14:paraId="7229EE4E" w14:textId="6143D942" w:rsidR="00335710" w:rsidRPr="00DA596B" w:rsidRDefault="00335710" w:rsidP="00A801E5">
      <w:pPr>
        <w:spacing w:after="200"/>
        <w:jc w:val="both"/>
        <w:rPr>
          <w:b/>
          <w:sz w:val="28"/>
          <w:szCs w:val="28"/>
        </w:rPr>
      </w:pPr>
      <w:bookmarkStart w:id="10" w:name="_heading=h.xkqmbsmrv6wu21"/>
      <w:bookmarkStart w:id="11" w:name="_heading=h.gwphwd4ryvt412"/>
      <w:bookmarkStart w:id="12" w:name="_heading=h.gwphwd4ryvt411"/>
      <w:bookmarkStart w:id="13" w:name="_heading=h.cw2azyb21peu1"/>
      <w:bookmarkStart w:id="14" w:name="_heading=h.tf2gk3lsnlrh1"/>
      <w:bookmarkStart w:id="15" w:name="_heading=h.hmqu6hyizdd1212"/>
      <w:bookmarkStart w:id="16" w:name="_heading=h.hmqu6hyizdd12111"/>
      <w:bookmarkEnd w:id="10"/>
      <w:bookmarkEnd w:id="11"/>
      <w:bookmarkEnd w:id="12"/>
      <w:bookmarkEnd w:id="13"/>
      <w:bookmarkEnd w:id="14"/>
      <w:bookmarkEnd w:id="15"/>
      <w:bookmarkEnd w:id="16"/>
    </w:p>
    <w:sectPr w:rsidR="00335710" w:rsidRPr="00DA596B" w:rsidSect="00C53261">
      <w:headerReference w:type="default" r:id="rId9"/>
      <w:headerReference w:type="first" r:id="rId10"/>
      <w:pgSz w:w="11906" w:h="16838"/>
      <w:pgMar w:top="1134" w:right="567" w:bottom="170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A20D" w14:textId="77777777" w:rsidR="007F4C1A" w:rsidRDefault="007F4C1A">
      <w:r>
        <w:separator/>
      </w:r>
    </w:p>
  </w:endnote>
  <w:endnote w:type="continuationSeparator" w:id="0">
    <w:p w14:paraId="381C1EC7" w14:textId="77777777" w:rsidR="007F4C1A" w:rsidRDefault="007F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2DC0" w14:textId="77777777" w:rsidR="007F4C1A" w:rsidRDefault="007F4C1A">
      <w:r>
        <w:separator/>
      </w:r>
    </w:p>
  </w:footnote>
  <w:footnote w:type="continuationSeparator" w:id="0">
    <w:p w14:paraId="08C4A9AF" w14:textId="77777777" w:rsidR="007F4C1A" w:rsidRDefault="007F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E860" w14:textId="77777777" w:rsidR="00360BFA" w:rsidRPr="00691DC1" w:rsidRDefault="00360BFA">
    <w:pPr>
      <w:pStyle w:val="a6"/>
      <w:jc w:val="center"/>
      <w:rPr>
        <w:sz w:val="28"/>
        <w:szCs w:val="28"/>
      </w:rPr>
    </w:pPr>
    <w:r w:rsidRPr="00691DC1">
      <w:rPr>
        <w:sz w:val="28"/>
        <w:szCs w:val="28"/>
      </w:rPr>
      <w:fldChar w:fldCharType="begin"/>
    </w:r>
    <w:r w:rsidRPr="00691DC1">
      <w:rPr>
        <w:sz w:val="28"/>
        <w:szCs w:val="28"/>
      </w:rPr>
      <w:instrText>PAGE</w:instrText>
    </w:r>
    <w:r w:rsidRPr="00691DC1">
      <w:rPr>
        <w:sz w:val="28"/>
        <w:szCs w:val="28"/>
      </w:rPr>
      <w:fldChar w:fldCharType="separate"/>
    </w:r>
    <w:r w:rsidR="00141E54" w:rsidRPr="00691DC1">
      <w:rPr>
        <w:noProof/>
        <w:sz w:val="28"/>
        <w:szCs w:val="28"/>
      </w:rPr>
      <w:t>5</w:t>
    </w:r>
    <w:r w:rsidRPr="00691DC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F4E2" w14:textId="77777777" w:rsidR="00360BFA" w:rsidRDefault="00360BF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10"/>
    <w:rsid w:val="00040426"/>
    <w:rsid w:val="000C3F14"/>
    <w:rsid w:val="000C6F4B"/>
    <w:rsid w:val="000F12D7"/>
    <w:rsid w:val="000F5859"/>
    <w:rsid w:val="00101363"/>
    <w:rsid w:val="00107A4B"/>
    <w:rsid w:val="0011409A"/>
    <w:rsid w:val="00116702"/>
    <w:rsid w:val="00125DFD"/>
    <w:rsid w:val="00141E54"/>
    <w:rsid w:val="00183396"/>
    <w:rsid w:val="001C132E"/>
    <w:rsid w:val="001E2341"/>
    <w:rsid w:val="001E49B9"/>
    <w:rsid w:val="002261E9"/>
    <w:rsid w:val="00270D9D"/>
    <w:rsid w:val="00273EC1"/>
    <w:rsid w:val="00295D21"/>
    <w:rsid w:val="002A5033"/>
    <w:rsid w:val="002B4AAA"/>
    <w:rsid w:val="00335710"/>
    <w:rsid w:val="003423D7"/>
    <w:rsid w:val="00346296"/>
    <w:rsid w:val="00357B26"/>
    <w:rsid w:val="00360BFA"/>
    <w:rsid w:val="00363FAD"/>
    <w:rsid w:val="00381040"/>
    <w:rsid w:val="00394EF2"/>
    <w:rsid w:val="003977A1"/>
    <w:rsid w:val="003A63FF"/>
    <w:rsid w:val="003D3CC5"/>
    <w:rsid w:val="003D5081"/>
    <w:rsid w:val="00405C7B"/>
    <w:rsid w:val="00407037"/>
    <w:rsid w:val="00423E40"/>
    <w:rsid w:val="00426BEB"/>
    <w:rsid w:val="004E57A5"/>
    <w:rsid w:val="004F34B8"/>
    <w:rsid w:val="005266A2"/>
    <w:rsid w:val="00531605"/>
    <w:rsid w:val="00557B20"/>
    <w:rsid w:val="005C4A1E"/>
    <w:rsid w:val="005E460A"/>
    <w:rsid w:val="0060666E"/>
    <w:rsid w:val="00611EBB"/>
    <w:rsid w:val="00616C8C"/>
    <w:rsid w:val="006302B3"/>
    <w:rsid w:val="00672793"/>
    <w:rsid w:val="00691DC1"/>
    <w:rsid w:val="006A02B7"/>
    <w:rsid w:val="00741837"/>
    <w:rsid w:val="00753606"/>
    <w:rsid w:val="00753B06"/>
    <w:rsid w:val="0075694E"/>
    <w:rsid w:val="00771E09"/>
    <w:rsid w:val="00782A48"/>
    <w:rsid w:val="007C59A0"/>
    <w:rsid w:val="007E0F4F"/>
    <w:rsid w:val="007F4C1A"/>
    <w:rsid w:val="00815C74"/>
    <w:rsid w:val="00821AA1"/>
    <w:rsid w:val="00844672"/>
    <w:rsid w:val="00891235"/>
    <w:rsid w:val="008A06E7"/>
    <w:rsid w:val="008F5FE2"/>
    <w:rsid w:val="00900893"/>
    <w:rsid w:val="00902A39"/>
    <w:rsid w:val="00974FAE"/>
    <w:rsid w:val="00980FA8"/>
    <w:rsid w:val="009812CB"/>
    <w:rsid w:val="00990034"/>
    <w:rsid w:val="00993790"/>
    <w:rsid w:val="009A17B0"/>
    <w:rsid w:val="009B08A6"/>
    <w:rsid w:val="009C0473"/>
    <w:rsid w:val="009D2F6A"/>
    <w:rsid w:val="00A02CB8"/>
    <w:rsid w:val="00A03CF0"/>
    <w:rsid w:val="00A12A71"/>
    <w:rsid w:val="00A14088"/>
    <w:rsid w:val="00A25AC3"/>
    <w:rsid w:val="00A30479"/>
    <w:rsid w:val="00A3636A"/>
    <w:rsid w:val="00A40B65"/>
    <w:rsid w:val="00A456EF"/>
    <w:rsid w:val="00A53C96"/>
    <w:rsid w:val="00A72136"/>
    <w:rsid w:val="00A801E5"/>
    <w:rsid w:val="00A83821"/>
    <w:rsid w:val="00A84EA2"/>
    <w:rsid w:val="00AA2690"/>
    <w:rsid w:val="00AB4D3B"/>
    <w:rsid w:val="00AE4AFB"/>
    <w:rsid w:val="00B24A8C"/>
    <w:rsid w:val="00B45B22"/>
    <w:rsid w:val="00B808D3"/>
    <w:rsid w:val="00B96CCB"/>
    <w:rsid w:val="00BA0A45"/>
    <w:rsid w:val="00BF3398"/>
    <w:rsid w:val="00C11AA8"/>
    <w:rsid w:val="00C35C26"/>
    <w:rsid w:val="00C53261"/>
    <w:rsid w:val="00C70E34"/>
    <w:rsid w:val="00CB15D8"/>
    <w:rsid w:val="00CB5C8E"/>
    <w:rsid w:val="00CC0C08"/>
    <w:rsid w:val="00CD3F4D"/>
    <w:rsid w:val="00D02DBE"/>
    <w:rsid w:val="00D11EEA"/>
    <w:rsid w:val="00D3721B"/>
    <w:rsid w:val="00D604BF"/>
    <w:rsid w:val="00D704E1"/>
    <w:rsid w:val="00D71747"/>
    <w:rsid w:val="00D95A1C"/>
    <w:rsid w:val="00DA596B"/>
    <w:rsid w:val="00DC3CCD"/>
    <w:rsid w:val="00DC4364"/>
    <w:rsid w:val="00E14B66"/>
    <w:rsid w:val="00E35D59"/>
    <w:rsid w:val="00E46AE2"/>
    <w:rsid w:val="00E55B4F"/>
    <w:rsid w:val="00E64264"/>
    <w:rsid w:val="00EA5B2D"/>
    <w:rsid w:val="00EC4E96"/>
    <w:rsid w:val="00EC606F"/>
    <w:rsid w:val="00F61406"/>
    <w:rsid w:val="00F66684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AC7"/>
  <w15:docId w15:val="{1386E6FF-E88D-49CA-B629-380BD2F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і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і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10">
    <w:name w:val="Заголовок1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a">
    <w:name w:val="List"/>
    <w:basedOn w:val="a4"/>
    <w:uiPriority w:val="99"/>
    <w:rsid w:val="0026700B"/>
    <w:rPr>
      <w:rFonts w:cs="Arial"/>
    </w:rPr>
  </w:style>
  <w:style w:type="paragraph" w:styleId="ab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e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A40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68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68-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AEAB-9C25-46D4-898D-BF5124AE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6056</Words>
  <Characters>3452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 Osi</dc:creator>
  <cp:lastModifiedBy>Кобець Вікторія Анатоліївна</cp:lastModifiedBy>
  <cp:revision>4</cp:revision>
  <cp:lastPrinted>2023-08-24T13:49:00Z</cp:lastPrinted>
  <dcterms:created xsi:type="dcterms:W3CDTF">2023-08-29T10:46:00Z</dcterms:created>
  <dcterms:modified xsi:type="dcterms:W3CDTF">2023-08-29T12:29:00Z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