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5E35F" w14:textId="77777777" w:rsidR="006A38C7" w:rsidRDefault="0074183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bookmarkStart w:id="0" w:name="_GoBack"/>
      <w:bookmarkEnd w:id="0"/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</w:t>
      </w:r>
      <w:r w:rsidR="006A38C7">
        <w:rPr>
          <w:b/>
          <w:bCs/>
          <w:sz w:val="28"/>
          <w:szCs w:val="28"/>
          <w:lang w:eastAsia="uk-UA"/>
        </w:rPr>
        <w:t>Закону України «</w:t>
      </w:r>
      <w:r w:rsidR="006A38C7" w:rsidRPr="006A38C7">
        <w:rPr>
          <w:b/>
          <w:bCs/>
          <w:sz w:val="28"/>
          <w:szCs w:val="28"/>
          <w:lang w:eastAsia="uk-UA"/>
        </w:rPr>
        <w:t xml:space="preserve">Про особливості здійснення державного регулювання у сфері організації та проведення азартних ігор </w:t>
      </w:r>
    </w:p>
    <w:p w14:paraId="1D0F62AF" w14:textId="5F1A5B34" w:rsidR="00335710" w:rsidRPr="002B4AAA" w:rsidRDefault="006A38C7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6A38C7">
        <w:rPr>
          <w:b/>
          <w:bCs/>
          <w:sz w:val="28"/>
          <w:szCs w:val="28"/>
          <w:lang w:eastAsia="uk-UA"/>
        </w:rPr>
        <w:t>та у лотерейній сфері під час дії правового режиму воєнного стану</w:t>
      </w:r>
      <w:r w:rsidR="00EE0228" w:rsidRPr="00EE0228">
        <w:rPr>
          <w:b/>
          <w:bCs/>
          <w:sz w:val="28"/>
          <w:szCs w:val="28"/>
          <w:lang w:eastAsia="uk-UA"/>
        </w:rPr>
        <w:t>»</w:t>
      </w:r>
    </w:p>
    <w:p w14:paraId="7249A3F8" w14:textId="77777777"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2422D8E1" w14:textId="2F497AD4" w:rsidR="00335710" w:rsidRDefault="00DC3CCD" w:rsidP="00DC3CCD">
      <w:pPr>
        <w:pStyle w:val="af"/>
        <w:suppressAutoHyphens/>
        <w:ind w:left="0" w:firstLine="709"/>
        <w:jc w:val="both"/>
        <w:rPr>
          <w:rStyle w:val="rvts23"/>
          <w:rFonts w:eastAsia="NSimSun"/>
          <w:sz w:val="28"/>
          <w:szCs w:val="28"/>
        </w:rPr>
      </w:pPr>
      <w:r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 xml:space="preserve">роєкт </w:t>
      </w:r>
      <w:r w:rsidR="006A38C7">
        <w:rPr>
          <w:sz w:val="28"/>
          <w:szCs w:val="28"/>
          <w:lang w:eastAsia="uk-UA"/>
        </w:rPr>
        <w:t>Закону України «</w:t>
      </w:r>
      <w:r w:rsidR="006A38C7" w:rsidRPr="006A38C7">
        <w:rPr>
          <w:sz w:val="28"/>
          <w:szCs w:val="28"/>
          <w:lang w:eastAsia="uk-UA"/>
        </w:rPr>
        <w:t>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</w:t>
      </w:r>
      <w:r w:rsidR="009B08A6" w:rsidRPr="002B4AAA">
        <w:rPr>
          <w:sz w:val="28"/>
          <w:szCs w:val="28"/>
          <w:lang w:eastAsia="uk-UA"/>
        </w:rPr>
        <w:t>»</w:t>
      </w:r>
      <w:r w:rsidR="00815C74" w:rsidRPr="002B4AAA">
        <w:rPr>
          <w:sz w:val="28"/>
          <w:szCs w:val="28"/>
          <w:lang w:eastAsia="uk-UA"/>
        </w:rPr>
        <w:t xml:space="preserve"> </w:t>
      </w:r>
      <w:r w:rsidR="00741837" w:rsidRPr="002B4AAA">
        <w:rPr>
          <w:sz w:val="28"/>
          <w:szCs w:val="28"/>
          <w:lang w:eastAsia="uk-UA"/>
        </w:rPr>
        <w:t xml:space="preserve">(далі — </w:t>
      </w:r>
      <w:r w:rsidR="009B08A6" w:rsidRPr="002B4AAA"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>роєкт</w:t>
      </w:r>
      <w:r w:rsidR="00D05611">
        <w:rPr>
          <w:sz w:val="28"/>
          <w:szCs w:val="28"/>
          <w:lang w:eastAsia="uk-UA"/>
        </w:rPr>
        <w:t xml:space="preserve"> Закону</w:t>
      </w:r>
      <w:r w:rsidR="00741837" w:rsidRPr="002B4AAA">
        <w:rPr>
          <w:sz w:val="28"/>
          <w:szCs w:val="28"/>
          <w:lang w:eastAsia="uk-UA"/>
        </w:rPr>
        <w:t xml:space="preserve">) </w:t>
      </w:r>
      <w:r w:rsidRPr="00DC3CCD">
        <w:rPr>
          <w:sz w:val="28"/>
          <w:szCs w:val="28"/>
          <w:lang w:eastAsia="uk-UA"/>
        </w:rPr>
        <w:t>розроблено з метою</w:t>
      </w:r>
      <w:r>
        <w:rPr>
          <w:sz w:val="28"/>
          <w:szCs w:val="28"/>
          <w:lang w:eastAsia="uk-UA"/>
        </w:rPr>
        <w:t xml:space="preserve"> </w:t>
      </w:r>
      <w:r w:rsidR="009479CD">
        <w:rPr>
          <w:sz w:val="28"/>
          <w:szCs w:val="28"/>
          <w:lang w:eastAsia="uk-UA"/>
        </w:rPr>
        <w:t xml:space="preserve">вирішення </w:t>
      </w:r>
      <w:r w:rsidR="006A38C7" w:rsidRPr="006A38C7">
        <w:rPr>
          <w:sz w:val="28"/>
          <w:szCs w:val="28"/>
          <w:lang w:eastAsia="uk-UA"/>
        </w:rPr>
        <w:t>проблемних питань, які виникають під час ліцензування у сфері організації та проведення азартних ігор, а також у лотерейній сфері в період дії правового режиму воєнного стану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14:paraId="67E6F51F" w14:textId="77777777"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1" w:name="n1977"/>
      <w:bookmarkStart w:id="2" w:name="n1978"/>
      <w:bookmarkEnd w:id="1"/>
      <w:bookmarkEnd w:id="2"/>
    </w:p>
    <w:p w14:paraId="225687BF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6CA269EC" w14:textId="2FDB622F" w:rsidR="00335710" w:rsidRDefault="00901B05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 w:rsidRPr="00901B05">
        <w:rPr>
          <w:rFonts w:eastAsia="Times New Roman"/>
          <w:bCs/>
          <w:sz w:val="28"/>
          <w:szCs w:val="28"/>
        </w:rPr>
        <w:t>Відповідно до Указу Президента України від 24.02.2022 № 64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</w:t>
      </w:r>
      <w:r w:rsidR="000574F5">
        <w:rPr>
          <w:rFonts w:eastAsia="Times New Roman"/>
          <w:bCs/>
          <w:sz w:val="28"/>
          <w:szCs w:val="28"/>
        </w:rPr>
        <w:t>,</w:t>
      </w:r>
      <w:r w:rsidR="000174D4" w:rsidRPr="000174D4">
        <w:rPr>
          <w:rFonts w:eastAsia="Times New Roman"/>
          <w:sz w:val="28"/>
          <w:szCs w:val="28"/>
        </w:rPr>
        <w:t xml:space="preserve"> </w:t>
      </w:r>
      <w:r w:rsidR="006A38C7" w:rsidRPr="006A38C7">
        <w:rPr>
          <w:rFonts w:eastAsia="Times New Roman"/>
          <w:sz w:val="28"/>
          <w:szCs w:val="28"/>
        </w:rPr>
        <w:t>з 24 лютого 2022 року</w:t>
      </w:r>
      <w:r w:rsidR="000174D4">
        <w:rPr>
          <w:rFonts w:eastAsia="Times New Roman"/>
          <w:sz w:val="28"/>
          <w:szCs w:val="28"/>
        </w:rPr>
        <w:t xml:space="preserve"> </w:t>
      </w:r>
      <w:r w:rsidR="000174D4" w:rsidRPr="000174D4">
        <w:rPr>
          <w:rFonts w:eastAsia="Times New Roman"/>
          <w:sz w:val="28"/>
          <w:szCs w:val="28"/>
        </w:rPr>
        <w:t>введено правовий режим воєнного стану на території України</w:t>
      </w:r>
      <w:r w:rsidRPr="00901B05">
        <w:rPr>
          <w:rFonts w:eastAsia="Times New Roman"/>
          <w:sz w:val="28"/>
          <w:szCs w:val="28"/>
        </w:rPr>
        <w:t xml:space="preserve"> </w:t>
      </w:r>
      <w:r w:rsidR="000574F5">
        <w:rPr>
          <w:rFonts w:eastAsia="Times New Roman"/>
          <w:sz w:val="28"/>
          <w:szCs w:val="28"/>
        </w:rPr>
        <w:t>у</w:t>
      </w:r>
      <w:r w:rsidRPr="006A38C7">
        <w:rPr>
          <w:rFonts w:eastAsia="Times New Roman"/>
          <w:sz w:val="28"/>
          <w:szCs w:val="28"/>
        </w:rPr>
        <w:t xml:space="preserve"> зв’язку з військовою агресією </w:t>
      </w:r>
      <w:r>
        <w:rPr>
          <w:rFonts w:eastAsia="Times New Roman"/>
          <w:sz w:val="28"/>
          <w:szCs w:val="28"/>
        </w:rPr>
        <w:t>р</w:t>
      </w:r>
      <w:r w:rsidRPr="006A38C7">
        <w:rPr>
          <w:rFonts w:eastAsia="Times New Roman"/>
          <w:sz w:val="28"/>
          <w:szCs w:val="28"/>
        </w:rPr>
        <w:t xml:space="preserve">осійської </w:t>
      </w:r>
      <w:r>
        <w:rPr>
          <w:rFonts w:eastAsia="Times New Roman"/>
          <w:sz w:val="28"/>
          <w:szCs w:val="28"/>
        </w:rPr>
        <w:t>ф</w:t>
      </w:r>
      <w:r w:rsidRPr="006A38C7">
        <w:rPr>
          <w:rFonts w:eastAsia="Times New Roman"/>
          <w:sz w:val="28"/>
          <w:szCs w:val="28"/>
        </w:rPr>
        <w:t>едерації проти України</w:t>
      </w:r>
      <w:r w:rsidR="006A38C7" w:rsidRPr="006A38C7">
        <w:rPr>
          <w:rFonts w:eastAsia="Times New Roman"/>
          <w:sz w:val="28"/>
          <w:szCs w:val="28"/>
        </w:rPr>
        <w:t>.</w:t>
      </w:r>
    </w:p>
    <w:p w14:paraId="300E3118" w14:textId="30F9D25C" w:rsidR="006A38C7" w:rsidRDefault="006A38C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 w:rsidRPr="006A38C7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У період воєнного стану особливої уваги та підтримки від держави потребує бізнес, який зазна</w:t>
      </w:r>
      <w:r w:rsidR="009479CD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є</w:t>
      </w:r>
      <w:r w:rsidRPr="006A38C7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великих збитків в умовах бойових дій на території України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.</w:t>
      </w:r>
    </w:p>
    <w:p w14:paraId="7C5C12ED" w14:textId="095CE429" w:rsidR="006A38C7" w:rsidRPr="006A38C7" w:rsidRDefault="006A38C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До КРАІЛ</w:t>
      </w:r>
      <w:r w:rsidR="009C3CB4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як Уповноваженого органу у сфері організації та проведення азартних ігор, а також у лотерейній сфері</w:t>
      </w:r>
      <w:r w:rsidR="009C3CB4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,</w:t>
      </w: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надходять звернення та запити від суб’єктів господарювання, які здійснюють діяльність у відповідних сферах, щодо провадження діяльності в умовах воєнного стану. Зокрема, стосовно:</w:t>
      </w:r>
    </w:p>
    <w:p w14:paraId="734EF798" w14:textId="77777777" w:rsidR="006A38C7" w:rsidRPr="006A38C7" w:rsidRDefault="006A38C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настання форс-мажору внаслідок військової агресії російської федерації проти України, що унеможливлює виконання обов’язків, встановлених Законом України «Про державне регулювання діяльності щодо організації та проведення азартних ігор» (далі – Закон), зокрема, в частині проведення обов’язкових щорічних платежів, відстрочення або зупинення таких платежів; </w:t>
      </w:r>
    </w:p>
    <w:p w14:paraId="377D845F" w14:textId="1129BB9A" w:rsidR="006A38C7" w:rsidRPr="006A38C7" w:rsidRDefault="006A38C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зупинення дії ліцензії внаслідок неможливості проводити діяльність в містах, де йдуть активні бойові дії</w:t>
      </w:r>
      <w:r w:rsidR="00F231B9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тощо</w:t>
      </w: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654BF79E" w14:textId="1839FD14" w:rsidR="006A38C7" w:rsidRPr="006A38C7" w:rsidRDefault="006A38C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Правові засади здійснення державного регулювання господарської діяльності у сфері організації та проведення азартних ігор в Україні встановлено Законом. Однак Законом не передбачено особливостей провадження господарської діяльності в умовах воєнного стану, зокрема, можливості відстрочення внесення щорічної плати за ліцензію на період дії воєнного стану, зупинення/поновлення дії ліцензії за заявою ліцензіата, </w:t>
      </w:r>
      <w:r w:rsidR="0027134E" w:rsidRPr="0027134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замін</w:t>
      </w:r>
      <w:r w:rsidR="0027134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и</w:t>
      </w:r>
      <w:r w:rsidR="0027134E" w:rsidRPr="0027134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пошкодженого/зруйнованого внаслідок військової агресії грального обладнання</w:t>
      </w:r>
      <w:r w:rsidRPr="006A38C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.</w:t>
      </w:r>
    </w:p>
    <w:p w14:paraId="7AFF10A3" w14:textId="7B07E7DD" w:rsidR="006A38C7" w:rsidRDefault="002059B2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 w:rsidRPr="002059B2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lastRenderedPageBreak/>
        <w:t>Таким чином, з метою підтримки суб’єктів господарювання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, які здійснюють діяльність у сфері організації та проведення азартних ігор, а також у лотерейній сфері, </w:t>
      </w:r>
      <w:r w:rsidRPr="002059B2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та надання їм 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додаткових гарантій</w:t>
      </w:r>
      <w:r w:rsidRPr="002059B2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провадження</w:t>
      </w:r>
      <w:r w:rsidRPr="002059B2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господарської діяльності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в умовах воєнного стану</w:t>
      </w:r>
      <w:r w:rsidRPr="002059B2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, розроблено про</w:t>
      </w:r>
      <w:r w:rsidR="00B765E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є</w:t>
      </w:r>
      <w:r w:rsidRPr="002059B2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кт Закону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.</w:t>
      </w:r>
    </w:p>
    <w:p w14:paraId="1712713D" w14:textId="77777777" w:rsidR="006A38C7" w:rsidRPr="002B4AAA" w:rsidRDefault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14:paraId="02707311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1C22CF55" w14:textId="090EB108" w:rsidR="002059B2" w:rsidRDefault="002059B2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ru-RU"/>
        </w:rPr>
      </w:pPr>
      <w:bookmarkStart w:id="3" w:name="n1981"/>
      <w:bookmarkEnd w:id="3"/>
      <w:r w:rsidRPr="002059B2">
        <w:rPr>
          <w:sz w:val="28"/>
          <w:szCs w:val="28"/>
          <w:lang w:eastAsia="ru-RU"/>
        </w:rPr>
        <w:t>Про</w:t>
      </w:r>
      <w:r w:rsidR="00B765EE">
        <w:rPr>
          <w:sz w:val="28"/>
          <w:szCs w:val="28"/>
          <w:lang w:eastAsia="ru-RU"/>
        </w:rPr>
        <w:t>є</w:t>
      </w:r>
      <w:r w:rsidRPr="002059B2">
        <w:rPr>
          <w:sz w:val="28"/>
          <w:szCs w:val="28"/>
          <w:lang w:eastAsia="ru-RU"/>
        </w:rPr>
        <w:t>ктом Закону пропонується</w:t>
      </w:r>
      <w:r w:rsidR="00BC4234" w:rsidRPr="00BC4234">
        <w:rPr>
          <w:sz w:val="28"/>
          <w:szCs w:val="28"/>
          <w:lang w:eastAsia="ru-RU"/>
        </w:rPr>
        <w:t xml:space="preserve"> </w:t>
      </w:r>
      <w:r w:rsidR="00BC4234">
        <w:rPr>
          <w:sz w:val="28"/>
          <w:szCs w:val="28"/>
          <w:lang w:eastAsia="ru-RU"/>
        </w:rPr>
        <w:t xml:space="preserve">внести зміни до </w:t>
      </w:r>
      <w:r w:rsidR="00BC4234">
        <w:rPr>
          <w:sz w:val="28"/>
          <w:szCs w:val="28"/>
          <w:lang w:eastAsia="uk-UA"/>
        </w:rPr>
        <w:t xml:space="preserve">Закону України </w:t>
      </w:r>
      <w:r w:rsidR="00BC4234" w:rsidRPr="000C6F4B">
        <w:rPr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</w:t>
      </w:r>
      <w:r w:rsidR="00BC4234">
        <w:rPr>
          <w:sz w:val="28"/>
          <w:szCs w:val="28"/>
          <w:lang w:eastAsia="uk-UA"/>
        </w:rPr>
        <w:t xml:space="preserve">, а також </w:t>
      </w:r>
      <w:r w:rsidR="00F231B9">
        <w:rPr>
          <w:sz w:val="28"/>
          <w:szCs w:val="28"/>
          <w:lang w:eastAsia="uk-UA"/>
        </w:rPr>
        <w:t xml:space="preserve">до </w:t>
      </w:r>
      <w:r w:rsidR="00BC4234">
        <w:rPr>
          <w:sz w:val="28"/>
          <w:szCs w:val="28"/>
          <w:lang w:eastAsia="uk-UA"/>
        </w:rPr>
        <w:t>Закон</w:t>
      </w:r>
      <w:r w:rsidR="00B21244">
        <w:rPr>
          <w:sz w:val="28"/>
          <w:szCs w:val="28"/>
          <w:lang w:eastAsia="uk-UA"/>
        </w:rPr>
        <w:t>у</w:t>
      </w:r>
      <w:r w:rsidR="00BC4234">
        <w:rPr>
          <w:sz w:val="28"/>
          <w:szCs w:val="28"/>
          <w:lang w:eastAsia="uk-UA"/>
        </w:rPr>
        <w:t xml:space="preserve"> України</w:t>
      </w:r>
      <w:r w:rsidR="00BC4234" w:rsidRPr="000C6F4B">
        <w:rPr>
          <w:sz w:val="28"/>
          <w:szCs w:val="28"/>
          <w:lang w:eastAsia="uk-UA"/>
        </w:rPr>
        <w:t xml:space="preserve"> «Про державні лотереї в Україні»</w:t>
      </w:r>
      <w:r w:rsidR="00DA23F8">
        <w:rPr>
          <w:sz w:val="28"/>
          <w:szCs w:val="28"/>
          <w:lang w:eastAsia="uk-UA"/>
        </w:rPr>
        <w:t xml:space="preserve">, зокрема, </w:t>
      </w:r>
      <w:r w:rsidR="00BC4234">
        <w:rPr>
          <w:sz w:val="28"/>
          <w:szCs w:val="28"/>
          <w:lang w:eastAsia="ru-RU"/>
        </w:rPr>
        <w:t>передбачи</w:t>
      </w:r>
      <w:r w:rsidR="00DA23F8">
        <w:rPr>
          <w:sz w:val="28"/>
          <w:szCs w:val="28"/>
          <w:lang w:eastAsia="ru-RU"/>
        </w:rPr>
        <w:t>вш</w:t>
      </w:r>
      <w:r w:rsidR="00BC4234">
        <w:rPr>
          <w:sz w:val="28"/>
          <w:szCs w:val="28"/>
          <w:lang w:eastAsia="ru-RU"/>
        </w:rPr>
        <w:t>и</w:t>
      </w:r>
      <w:r w:rsidRPr="002059B2">
        <w:rPr>
          <w:sz w:val="28"/>
          <w:szCs w:val="28"/>
          <w:lang w:eastAsia="ru-RU"/>
        </w:rPr>
        <w:t>:</w:t>
      </w:r>
    </w:p>
    <w:p w14:paraId="13AA2839" w14:textId="2A39E7FA" w:rsidR="00F231B9" w:rsidRDefault="00F231B9" w:rsidP="002059B2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F231B9">
        <w:rPr>
          <w:sz w:val="28"/>
          <w:szCs w:val="28"/>
          <w:lang w:eastAsia="ru-RU"/>
        </w:rPr>
        <w:t xml:space="preserve">перенесення строку введення в експлуатацію Державної системи </w:t>
      </w:r>
      <w:proofErr w:type="spellStart"/>
      <w:r w:rsidRPr="00F231B9">
        <w:rPr>
          <w:sz w:val="28"/>
          <w:szCs w:val="28"/>
          <w:lang w:eastAsia="ru-RU"/>
        </w:rPr>
        <w:t>онлайн-моніторингу</w:t>
      </w:r>
      <w:proofErr w:type="spellEnd"/>
      <w:r>
        <w:rPr>
          <w:sz w:val="28"/>
          <w:szCs w:val="28"/>
          <w:lang w:eastAsia="ru-RU"/>
        </w:rPr>
        <w:t>;</w:t>
      </w:r>
    </w:p>
    <w:p w14:paraId="27463385" w14:textId="6225768A" w:rsidR="004F7F1B" w:rsidRDefault="004F7F1B" w:rsidP="002059B2">
      <w:pPr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встановлення заборони використання в Україні бреднів організаторів азартних ігор, право власності на які належить резидентам держави-агресора;</w:t>
      </w:r>
    </w:p>
    <w:p w14:paraId="604AF5D4" w14:textId="7956FE52" w:rsidR="002059B2" w:rsidRDefault="002059B2" w:rsidP="002059B2">
      <w:pPr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можливість зупинення </w:t>
      </w:r>
      <w:r w:rsidR="008F6F5F">
        <w:rPr>
          <w:sz w:val="28"/>
          <w:szCs w:val="28"/>
          <w:lang w:eastAsia="ru-RU"/>
        </w:rPr>
        <w:t>дії ліцензій</w:t>
      </w:r>
      <w:r w:rsidR="00BC4234" w:rsidRPr="00BC4234">
        <w:rPr>
          <w:sz w:val="28"/>
          <w:szCs w:val="28"/>
          <w:lang w:eastAsia="ru-RU"/>
        </w:rPr>
        <w:t xml:space="preserve"> </w:t>
      </w:r>
      <w:r w:rsidR="00DA23F8">
        <w:rPr>
          <w:sz w:val="28"/>
          <w:szCs w:val="28"/>
          <w:lang w:eastAsia="ru-RU"/>
        </w:rPr>
        <w:t xml:space="preserve">у сфері організації та проведення азартних ігор </w:t>
      </w:r>
      <w:r w:rsidR="00BC4234">
        <w:rPr>
          <w:sz w:val="28"/>
          <w:szCs w:val="28"/>
          <w:lang w:eastAsia="ru-RU"/>
        </w:rPr>
        <w:t>у</w:t>
      </w:r>
      <w:r w:rsidR="00BC4234" w:rsidRPr="00BC4234">
        <w:rPr>
          <w:sz w:val="28"/>
          <w:szCs w:val="28"/>
          <w:lang w:eastAsia="ru-RU"/>
        </w:rPr>
        <w:t xml:space="preserve"> разі неможливості провадження діяльності з організації та проведення азартних ігор під час дії правового режиму воєнного стану з можливістю її поновлення після усунення обставин, що зумовили її зупинення</w:t>
      </w:r>
      <w:r w:rsidR="00BC4234">
        <w:rPr>
          <w:sz w:val="28"/>
          <w:szCs w:val="28"/>
          <w:lang w:eastAsia="ru-RU"/>
        </w:rPr>
        <w:t>;</w:t>
      </w:r>
    </w:p>
    <w:p w14:paraId="5BD8E87A" w14:textId="2DBF002F" w:rsidR="00BC4234" w:rsidRPr="002059B2" w:rsidRDefault="002762B7" w:rsidP="00BC4234">
      <w:pPr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2762B7">
        <w:rPr>
          <w:sz w:val="28"/>
          <w:szCs w:val="28"/>
          <w:lang w:eastAsia="ru-RU"/>
        </w:rPr>
        <w:t>собливості зупинення строку дії ліцензії та здійснення платежів в цей період</w:t>
      </w:r>
      <w:r w:rsidR="00BC4234" w:rsidRPr="002059B2">
        <w:rPr>
          <w:sz w:val="28"/>
          <w:szCs w:val="28"/>
          <w:lang w:eastAsia="ru-RU"/>
        </w:rPr>
        <w:t xml:space="preserve">; </w:t>
      </w:r>
    </w:p>
    <w:p w14:paraId="58E0F4D9" w14:textId="2C0F4DB9" w:rsidR="002059B2" w:rsidRPr="002059B2" w:rsidRDefault="002059B2" w:rsidP="002059B2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2059B2">
        <w:rPr>
          <w:sz w:val="28"/>
          <w:szCs w:val="28"/>
          <w:lang w:eastAsia="ru-RU"/>
        </w:rPr>
        <w:t xml:space="preserve">звільнення організаторів азартних ігор </w:t>
      </w:r>
      <w:r w:rsidR="00BC4234" w:rsidRPr="00BC4234">
        <w:rPr>
          <w:sz w:val="28"/>
          <w:szCs w:val="28"/>
          <w:lang w:eastAsia="ru-RU"/>
        </w:rPr>
        <w:t>від відповідальності у вигляді анулювання ліцензії за несплату або прострочення здійснення плати за ліцензію понад два місяці у зв’язку з настанням обставин форс-мажору внаслідок введення правового режиму воєнного стану</w:t>
      </w:r>
      <w:r w:rsidR="004F7F1B">
        <w:rPr>
          <w:sz w:val="28"/>
          <w:szCs w:val="28"/>
          <w:lang w:eastAsia="ru-RU"/>
        </w:rPr>
        <w:t xml:space="preserve"> у разі, якщо наслідком військової агресії стало фактичне зупинення їх діяльності</w:t>
      </w:r>
      <w:r w:rsidRPr="002059B2">
        <w:rPr>
          <w:sz w:val="28"/>
          <w:szCs w:val="28"/>
          <w:lang w:eastAsia="ru-RU"/>
        </w:rPr>
        <w:t xml:space="preserve">; </w:t>
      </w:r>
    </w:p>
    <w:p w14:paraId="40C0E4F1" w14:textId="704B52DE" w:rsidR="002059B2" w:rsidRDefault="002059B2" w:rsidP="002059B2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2059B2">
        <w:rPr>
          <w:sz w:val="28"/>
          <w:szCs w:val="28"/>
          <w:lang w:eastAsia="ru-RU"/>
        </w:rPr>
        <w:t>надання організаторам азартних ігор можливості в межах виданої ліцензії провести заміну пошкодженого/зруйнованого внаслідок військової агресії грального обладнання</w:t>
      </w:r>
      <w:r w:rsidR="00DA23F8">
        <w:rPr>
          <w:sz w:val="28"/>
          <w:szCs w:val="28"/>
          <w:lang w:eastAsia="ru-RU"/>
        </w:rPr>
        <w:t>;</w:t>
      </w:r>
    </w:p>
    <w:p w14:paraId="0A572381" w14:textId="6A4C3A25" w:rsidR="000C6F4B" w:rsidRDefault="00DA23F8" w:rsidP="002059B2">
      <w:pPr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приведення у відповідність із вимогами Закону України </w:t>
      </w:r>
      <w:r w:rsidRPr="00DA23F8">
        <w:rPr>
          <w:sz w:val="28"/>
          <w:szCs w:val="28"/>
          <w:lang w:eastAsia="ru-RU"/>
        </w:rPr>
        <w:t>«Про забезпечення прав і свобод громадян та правовий режим на тимчасово окупованій території України»</w:t>
      </w:r>
      <w:r>
        <w:rPr>
          <w:sz w:val="28"/>
          <w:szCs w:val="28"/>
          <w:lang w:eastAsia="ru-RU"/>
        </w:rPr>
        <w:t xml:space="preserve"> в частині можливості анулювання ліцензії організаторів азартних ігор та операторів державних лотерей у разі документального підтвердження здійснення ними будь-якої діяльності на тимчасово окупованих територіях.</w:t>
      </w:r>
    </w:p>
    <w:p w14:paraId="4BF9D358" w14:textId="77777777" w:rsidR="00900893" w:rsidRPr="002B4AAA" w:rsidRDefault="00900893" w:rsidP="00844672">
      <w:pPr>
        <w:suppressAutoHyphens/>
        <w:ind w:firstLine="709"/>
        <w:jc w:val="both"/>
        <w:rPr>
          <w:sz w:val="28"/>
          <w:szCs w:val="28"/>
          <w:lang w:eastAsia="ru-RU"/>
        </w:rPr>
      </w:pPr>
    </w:p>
    <w:p w14:paraId="4A2DBBBF" w14:textId="77777777" w:rsidR="00335710" w:rsidRPr="002B4AAA" w:rsidRDefault="00741837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2B4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77777777" w:rsidR="000C6F4B" w:rsidRDefault="000C6F4B">
      <w:pPr>
        <w:pStyle w:val="af"/>
        <w:suppressAutoHyphens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0C6F4B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14:paraId="42DFC491" w14:textId="2BC7E81A" w:rsidR="000C6F4B" w:rsidRDefault="000F12D7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Закон України </w:t>
      </w:r>
      <w:r w:rsidR="000C6F4B" w:rsidRPr="000C6F4B">
        <w:rPr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</w:t>
      </w:r>
      <w:r w:rsidR="000C6F4B">
        <w:rPr>
          <w:sz w:val="28"/>
          <w:szCs w:val="28"/>
          <w:lang w:eastAsia="uk-UA"/>
        </w:rPr>
        <w:t>;</w:t>
      </w:r>
    </w:p>
    <w:p w14:paraId="1D84D0FC" w14:textId="77777777" w:rsidR="000C6F4B" w:rsidRDefault="000C6F4B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Закон України</w:t>
      </w:r>
      <w:r w:rsidRPr="000C6F4B">
        <w:rPr>
          <w:sz w:val="28"/>
          <w:szCs w:val="28"/>
          <w:lang w:eastAsia="uk-UA"/>
        </w:rPr>
        <w:t xml:space="preserve"> «Про державні лотереї в Україні»</w:t>
      </w:r>
      <w:r>
        <w:rPr>
          <w:sz w:val="28"/>
          <w:szCs w:val="28"/>
          <w:lang w:eastAsia="uk-UA"/>
        </w:rPr>
        <w:t>;</w:t>
      </w:r>
    </w:p>
    <w:p w14:paraId="0556ED6B" w14:textId="77777777" w:rsidR="00DA23F8" w:rsidRDefault="00DA23F8">
      <w:pPr>
        <w:pStyle w:val="af"/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Закон України </w:t>
      </w:r>
      <w:r w:rsidRPr="00DA23F8">
        <w:rPr>
          <w:sz w:val="28"/>
          <w:szCs w:val="28"/>
          <w:lang w:eastAsia="ru-RU"/>
        </w:rPr>
        <w:t>«Про забезпечення прав і свобод громадян та правовий режим на тимчасово окупованій території України»</w:t>
      </w:r>
      <w:r>
        <w:rPr>
          <w:sz w:val="28"/>
          <w:szCs w:val="28"/>
          <w:lang w:eastAsia="ru-RU"/>
        </w:rPr>
        <w:t>;</w:t>
      </w:r>
    </w:p>
    <w:p w14:paraId="6E01C8FF" w14:textId="1B33A1D6" w:rsidR="00DA23F8" w:rsidRDefault="00DA23F8" w:rsidP="00DA23F8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DA23F8">
        <w:rPr>
          <w:sz w:val="28"/>
          <w:szCs w:val="28"/>
          <w:lang w:eastAsia="uk-UA"/>
        </w:rPr>
        <w:lastRenderedPageBreak/>
        <w:t xml:space="preserve">Закон України </w:t>
      </w:r>
      <w:r>
        <w:rPr>
          <w:sz w:val="28"/>
          <w:szCs w:val="28"/>
          <w:lang w:eastAsia="uk-UA"/>
        </w:rPr>
        <w:t>«</w:t>
      </w:r>
      <w:r w:rsidRPr="00DA23F8">
        <w:rPr>
          <w:sz w:val="28"/>
          <w:szCs w:val="28"/>
          <w:lang w:eastAsia="uk-UA"/>
        </w:rPr>
        <w:t>Про правовий режим воєнного стану</w:t>
      </w:r>
      <w:r>
        <w:rPr>
          <w:sz w:val="28"/>
          <w:szCs w:val="28"/>
          <w:lang w:eastAsia="uk-UA"/>
        </w:rPr>
        <w:t>»</w:t>
      </w:r>
      <w:r w:rsidRPr="00DA23F8">
        <w:rPr>
          <w:sz w:val="28"/>
          <w:szCs w:val="28"/>
          <w:lang w:eastAsia="uk-UA"/>
        </w:rPr>
        <w:t>;</w:t>
      </w:r>
    </w:p>
    <w:p w14:paraId="12BC1DB5" w14:textId="128648BC" w:rsidR="0027134E" w:rsidRDefault="00DA23F8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DA23F8">
        <w:rPr>
          <w:sz w:val="28"/>
          <w:szCs w:val="28"/>
          <w:lang w:eastAsia="uk-UA"/>
        </w:rPr>
        <w:t>Указ Президента України від 24</w:t>
      </w:r>
      <w:r w:rsidR="00B21244">
        <w:rPr>
          <w:sz w:val="28"/>
          <w:szCs w:val="28"/>
          <w:lang w:eastAsia="uk-UA"/>
        </w:rPr>
        <w:t xml:space="preserve"> лютого </w:t>
      </w:r>
      <w:r w:rsidRPr="00DA23F8">
        <w:rPr>
          <w:sz w:val="28"/>
          <w:szCs w:val="28"/>
          <w:lang w:eastAsia="uk-UA"/>
        </w:rPr>
        <w:t xml:space="preserve">2022 </w:t>
      </w:r>
      <w:r w:rsidR="00B21244">
        <w:rPr>
          <w:sz w:val="28"/>
          <w:szCs w:val="28"/>
          <w:lang w:eastAsia="uk-UA"/>
        </w:rPr>
        <w:t xml:space="preserve">року </w:t>
      </w:r>
      <w:r w:rsidRPr="00DA23F8">
        <w:rPr>
          <w:sz w:val="28"/>
          <w:szCs w:val="28"/>
          <w:lang w:eastAsia="uk-UA"/>
        </w:rPr>
        <w:t xml:space="preserve">№ 64 </w:t>
      </w:r>
      <w:r>
        <w:rPr>
          <w:sz w:val="28"/>
          <w:szCs w:val="28"/>
          <w:lang w:eastAsia="uk-UA"/>
        </w:rPr>
        <w:t>«</w:t>
      </w:r>
      <w:r w:rsidRPr="00DA23F8">
        <w:rPr>
          <w:sz w:val="28"/>
          <w:szCs w:val="28"/>
          <w:lang w:eastAsia="uk-UA"/>
        </w:rPr>
        <w:t>Про введення воєнного</w:t>
      </w:r>
      <w:r>
        <w:rPr>
          <w:sz w:val="28"/>
          <w:szCs w:val="28"/>
          <w:lang w:eastAsia="uk-UA"/>
        </w:rPr>
        <w:t xml:space="preserve"> с</w:t>
      </w:r>
      <w:r w:rsidRPr="00DA23F8">
        <w:rPr>
          <w:sz w:val="28"/>
          <w:szCs w:val="28"/>
          <w:lang w:eastAsia="uk-UA"/>
        </w:rPr>
        <w:t>тану в Україні</w:t>
      </w:r>
      <w:r>
        <w:rPr>
          <w:sz w:val="28"/>
          <w:szCs w:val="28"/>
          <w:lang w:eastAsia="uk-UA"/>
        </w:rPr>
        <w:t>»</w:t>
      </w:r>
      <w:r w:rsidR="00F231B9">
        <w:rPr>
          <w:sz w:val="28"/>
          <w:szCs w:val="28"/>
          <w:lang w:eastAsia="uk-UA"/>
        </w:rPr>
        <w:t xml:space="preserve">, </w:t>
      </w:r>
      <w:r w:rsidR="00F231B9" w:rsidRPr="00F231B9">
        <w:rPr>
          <w:sz w:val="28"/>
          <w:szCs w:val="28"/>
          <w:lang w:eastAsia="uk-UA"/>
        </w:rPr>
        <w:t>затверджен</w:t>
      </w:r>
      <w:r w:rsidR="00F231B9">
        <w:rPr>
          <w:sz w:val="28"/>
          <w:szCs w:val="28"/>
          <w:lang w:eastAsia="uk-UA"/>
        </w:rPr>
        <w:t>ий</w:t>
      </w:r>
      <w:r w:rsidR="00F231B9" w:rsidRPr="00F231B9">
        <w:rPr>
          <w:sz w:val="28"/>
          <w:szCs w:val="28"/>
          <w:lang w:eastAsia="uk-UA"/>
        </w:rPr>
        <w:t xml:space="preserve"> Законом України «Про затвердження Указу Президента України «Про введення воєнного стану в Україні»</w:t>
      </w:r>
      <w:r w:rsidR="0071420B">
        <w:rPr>
          <w:sz w:val="28"/>
          <w:szCs w:val="28"/>
          <w:lang w:eastAsia="uk-UA"/>
        </w:rPr>
        <w:t>;</w:t>
      </w:r>
      <w:r w:rsidR="0027134E">
        <w:rPr>
          <w:sz w:val="28"/>
          <w:szCs w:val="28"/>
          <w:lang w:eastAsia="uk-UA"/>
        </w:rPr>
        <w:t xml:space="preserve"> </w:t>
      </w:r>
    </w:p>
    <w:p w14:paraId="66B02E28" w14:textId="55CC63A6" w:rsidR="003D3CC5" w:rsidRPr="002B4AAA" w:rsidRDefault="0071420B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71420B">
        <w:rPr>
          <w:sz w:val="28"/>
          <w:szCs w:val="28"/>
          <w:lang w:eastAsia="uk-UA"/>
        </w:rPr>
        <w:t>Положення про Комісію з регулювання азартних ігор та лотерей, затверджен</w:t>
      </w:r>
      <w:r>
        <w:rPr>
          <w:sz w:val="28"/>
          <w:szCs w:val="28"/>
          <w:lang w:eastAsia="uk-UA"/>
        </w:rPr>
        <w:t>е</w:t>
      </w:r>
      <w:r w:rsidRPr="0071420B">
        <w:rPr>
          <w:sz w:val="28"/>
          <w:szCs w:val="28"/>
          <w:lang w:eastAsia="uk-UA"/>
        </w:rPr>
        <w:t xml:space="preserve"> постановою Кабінету Міністрів України від 23 вересня 2020 року № 891</w:t>
      </w:r>
      <w:r w:rsidR="000C6F4B">
        <w:rPr>
          <w:sz w:val="28"/>
          <w:szCs w:val="28"/>
          <w:lang w:eastAsia="uk-UA"/>
        </w:rPr>
        <w:t>.</w:t>
      </w:r>
    </w:p>
    <w:p w14:paraId="0FE7AD18" w14:textId="77777777" w:rsidR="00335710" w:rsidRPr="002B4AAA" w:rsidRDefault="00335710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14:paraId="45E82F29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557B305A" w:rsidR="00335710" w:rsidRPr="002B4AAA" w:rsidRDefault="00921A9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921A97">
        <w:rPr>
          <w:rFonts w:eastAsia="Times New Roman"/>
          <w:sz w:val="28"/>
          <w:szCs w:val="28"/>
        </w:rPr>
        <w:t>Реалізація про</w:t>
      </w:r>
      <w:r w:rsidR="00B765EE">
        <w:rPr>
          <w:rFonts w:eastAsia="Times New Roman"/>
          <w:sz w:val="28"/>
          <w:szCs w:val="28"/>
        </w:rPr>
        <w:t>є</w:t>
      </w:r>
      <w:r w:rsidRPr="00921A97">
        <w:rPr>
          <w:rFonts w:eastAsia="Times New Roman"/>
          <w:sz w:val="28"/>
          <w:szCs w:val="28"/>
        </w:rPr>
        <w:t>кту Закону не потребуватиме додаткових витрат з державного і місцевого бюджетів.</w:t>
      </w:r>
    </w:p>
    <w:p w14:paraId="47A0B0B2" w14:textId="77777777" w:rsidR="00335710" w:rsidRPr="002B4AAA" w:rsidRDefault="00335710">
      <w:pPr>
        <w:suppressAutoHyphens/>
        <w:jc w:val="both"/>
        <w:rPr>
          <w:sz w:val="28"/>
          <w:szCs w:val="28"/>
          <w:lang w:eastAsia="uk-UA"/>
        </w:rPr>
      </w:pPr>
    </w:p>
    <w:p w14:paraId="7AA76E55" w14:textId="77777777" w:rsidR="00335710" w:rsidRPr="002B4AAA" w:rsidRDefault="00741837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60DF0DE3" w14:textId="7CCFE584" w:rsidR="00993790" w:rsidRPr="00993790" w:rsidRDefault="00993790" w:rsidP="00993790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993790">
        <w:rPr>
          <w:rFonts w:eastAsia="Times New Roman"/>
          <w:sz w:val="28"/>
          <w:szCs w:val="28"/>
          <w:lang w:eastAsia="uk-UA"/>
        </w:rPr>
        <w:t xml:space="preserve">Проєкт </w:t>
      </w:r>
      <w:r w:rsidR="00D05611">
        <w:rPr>
          <w:rFonts w:eastAsia="Times New Roman"/>
          <w:sz w:val="28"/>
          <w:szCs w:val="28"/>
          <w:lang w:eastAsia="uk-UA"/>
        </w:rPr>
        <w:t xml:space="preserve">Закону </w:t>
      </w:r>
      <w:r w:rsidRPr="00993790">
        <w:rPr>
          <w:rFonts w:eastAsia="Times New Roman"/>
          <w:sz w:val="28"/>
          <w:szCs w:val="28"/>
          <w:lang w:eastAsia="uk-UA"/>
        </w:rPr>
        <w:t>не стосується питань функціонування місцевого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самоврядування, прав та інтересів територіальних громад, місцевого та регіонального розвитку, соціально-трудової сфери, прав осіб з інвалідністю,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функціонування і застосування української мови як державної, тому не потребує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погодження з уповноваженими представниками всеукраїнських асоціацій органів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місцевого самоврядування чи відповідними органами місцевого самоврядування,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уповноваженими представниками всеукраїнських профспілок, їх об’єднаннями та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всеукраїнськими об’єднаннями організацій роботодавців, Уповноваженим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Президента України з прав людей з інвалідністю, Урядовим уповноваженим з прав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осіб з інвалідністю та всеукраїнськими громадськими організаціями осіб з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інвалідністю, їх спілками, Уповноваженим із захисту державної мови.</w:t>
      </w:r>
    </w:p>
    <w:p w14:paraId="6824ABAF" w14:textId="3047C768" w:rsidR="00993790" w:rsidRDefault="00993790" w:rsidP="00993790">
      <w:pPr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 xml:space="preserve">Проєкт </w:t>
      </w:r>
      <w:r w:rsidR="00D05611">
        <w:rPr>
          <w:sz w:val="28"/>
          <w:szCs w:val="28"/>
        </w:rPr>
        <w:t xml:space="preserve">Закону </w:t>
      </w:r>
      <w:r w:rsidRPr="002B4AAA">
        <w:rPr>
          <w:sz w:val="28"/>
          <w:szCs w:val="28"/>
        </w:rPr>
        <w:t>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53785746" w14:textId="25AE180B" w:rsidR="00335710" w:rsidRPr="002B4AAA" w:rsidRDefault="00993790" w:rsidP="008F6F5F">
      <w:pPr>
        <w:ind w:firstLine="709"/>
        <w:jc w:val="both"/>
        <w:rPr>
          <w:sz w:val="28"/>
          <w:szCs w:val="28"/>
        </w:rPr>
      </w:pPr>
      <w:r w:rsidRPr="00993790">
        <w:rPr>
          <w:rFonts w:eastAsia="Times New Roman"/>
          <w:sz w:val="28"/>
          <w:szCs w:val="28"/>
          <w:lang w:eastAsia="uk-UA"/>
        </w:rPr>
        <w:t xml:space="preserve">Проєкт </w:t>
      </w:r>
      <w:r w:rsidR="00D05611">
        <w:rPr>
          <w:rFonts w:eastAsia="Times New Roman"/>
          <w:sz w:val="28"/>
          <w:szCs w:val="28"/>
          <w:lang w:eastAsia="uk-UA"/>
        </w:rPr>
        <w:t>Закону</w:t>
      </w:r>
      <w:r w:rsidR="008F6F5F" w:rsidRPr="008F6F5F">
        <w:rPr>
          <w:rFonts w:eastAsia="Times New Roman"/>
          <w:sz w:val="28"/>
          <w:szCs w:val="28"/>
          <w:lang w:eastAsia="uk-UA"/>
        </w:rPr>
        <w:t xml:space="preserve"> пов’язани</w:t>
      </w:r>
      <w:r w:rsidR="008F6F5F">
        <w:rPr>
          <w:rFonts w:eastAsia="Times New Roman"/>
          <w:sz w:val="28"/>
          <w:szCs w:val="28"/>
          <w:lang w:eastAsia="uk-UA"/>
        </w:rPr>
        <w:t>й</w:t>
      </w:r>
      <w:r w:rsidR="008F6F5F" w:rsidRPr="008F6F5F">
        <w:rPr>
          <w:rFonts w:eastAsia="Times New Roman"/>
          <w:sz w:val="28"/>
          <w:szCs w:val="28"/>
          <w:lang w:eastAsia="uk-UA"/>
        </w:rPr>
        <w:t xml:space="preserve"> із введенням в Україні воєнного стану</w:t>
      </w:r>
      <w:r w:rsidR="00DF5016">
        <w:rPr>
          <w:rFonts w:eastAsia="Times New Roman"/>
          <w:sz w:val="28"/>
          <w:szCs w:val="28"/>
          <w:lang w:eastAsia="uk-UA"/>
        </w:rPr>
        <w:t>,</w:t>
      </w:r>
      <w:r w:rsidR="008F6F5F">
        <w:rPr>
          <w:rFonts w:eastAsia="Times New Roman"/>
          <w:sz w:val="28"/>
          <w:szCs w:val="28"/>
          <w:lang w:eastAsia="uk-UA"/>
        </w:rPr>
        <w:t xml:space="preserve">  спрямований на вирішення невідкладних питань</w:t>
      </w:r>
      <w:r w:rsidR="00DF5016">
        <w:rPr>
          <w:rFonts w:eastAsia="Times New Roman"/>
          <w:sz w:val="28"/>
          <w:szCs w:val="28"/>
          <w:lang w:eastAsia="uk-UA"/>
        </w:rPr>
        <w:t xml:space="preserve"> та не</w:t>
      </w:r>
      <w:r w:rsidR="00D05611"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 xml:space="preserve">потребує погодження з </w:t>
      </w:r>
      <w:r w:rsidR="008F6F5F">
        <w:rPr>
          <w:rFonts w:eastAsia="Times New Roman"/>
          <w:sz w:val="28"/>
          <w:szCs w:val="28"/>
          <w:lang w:eastAsia="uk-UA"/>
        </w:rPr>
        <w:t>заінтересованими органами</w:t>
      </w:r>
      <w:r w:rsidRPr="00993790">
        <w:rPr>
          <w:rFonts w:eastAsia="Times New Roman"/>
          <w:sz w:val="28"/>
          <w:szCs w:val="28"/>
          <w:lang w:eastAsia="uk-UA"/>
        </w:rPr>
        <w:t xml:space="preserve">. </w:t>
      </w:r>
      <w:r w:rsidR="00741837" w:rsidRPr="002B4AAA">
        <w:rPr>
          <w:sz w:val="28"/>
          <w:szCs w:val="28"/>
        </w:rPr>
        <w:t xml:space="preserve"> </w:t>
      </w:r>
    </w:p>
    <w:p w14:paraId="4AB90BBE" w14:textId="77777777"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4" w:name="n1990"/>
      <w:bookmarkStart w:id="5" w:name="n1992"/>
      <w:bookmarkStart w:id="6" w:name="n1993"/>
      <w:bookmarkStart w:id="7" w:name="n1994"/>
      <w:bookmarkStart w:id="8" w:name="n1997"/>
      <w:bookmarkEnd w:id="4"/>
      <w:bookmarkEnd w:id="5"/>
      <w:bookmarkEnd w:id="6"/>
      <w:bookmarkEnd w:id="7"/>
      <w:bookmarkEnd w:id="8"/>
    </w:p>
    <w:p w14:paraId="4937112F" w14:textId="77777777" w:rsidR="0071420B" w:rsidRDefault="0074183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color w:val="333333"/>
          <w:sz w:val="28"/>
          <w:szCs w:val="28"/>
        </w:rPr>
        <w:t>7. Оцінка відповідності</w:t>
      </w:r>
    </w:p>
    <w:p w14:paraId="0FFC0738" w14:textId="3D1AE1E2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У про</w:t>
      </w:r>
      <w:r w:rsidR="00B765EE">
        <w:rPr>
          <w:rFonts w:eastAsia="Times New Roman"/>
          <w:sz w:val="28"/>
          <w:szCs w:val="28"/>
        </w:rPr>
        <w:t>є</w:t>
      </w:r>
      <w:r w:rsidRPr="00921A97">
        <w:rPr>
          <w:rFonts w:eastAsia="Times New Roman"/>
          <w:sz w:val="28"/>
          <w:szCs w:val="28"/>
        </w:rPr>
        <w:t xml:space="preserve">кті Закону відсутні положення, що: </w:t>
      </w:r>
    </w:p>
    <w:p w14:paraId="2ED6EED9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стосуються зобов’язань України у сфері європейської інтеграції</w:t>
      </w:r>
      <w:r>
        <w:rPr>
          <w:rFonts w:eastAsia="Times New Roman"/>
          <w:sz w:val="28"/>
          <w:szCs w:val="28"/>
        </w:rPr>
        <w:t>;</w:t>
      </w:r>
    </w:p>
    <w:p w14:paraId="65336809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</w:t>
      </w:r>
      <w:r>
        <w:rPr>
          <w:rFonts w:eastAsia="Times New Roman"/>
          <w:sz w:val="28"/>
          <w:szCs w:val="28"/>
        </w:rPr>
        <w:t>;</w:t>
      </w:r>
      <w:r w:rsidRPr="00921A97">
        <w:rPr>
          <w:rFonts w:eastAsia="Times New Roman"/>
          <w:sz w:val="28"/>
          <w:szCs w:val="28"/>
        </w:rPr>
        <w:t xml:space="preserve"> </w:t>
      </w:r>
    </w:p>
    <w:p w14:paraId="2DA81175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впливають на забезпечення рівних прав та можливостей жінок і чоловіків</w:t>
      </w:r>
      <w:r>
        <w:rPr>
          <w:rFonts w:eastAsia="Times New Roman"/>
          <w:sz w:val="28"/>
          <w:szCs w:val="28"/>
        </w:rPr>
        <w:t>;</w:t>
      </w:r>
    </w:p>
    <w:p w14:paraId="57FC024C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</w:t>
      </w:r>
      <w:r>
        <w:rPr>
          <w:rFonts w:eastAsia="Times New Roman"/>
          <w:sz w:val="28"/>
          <w:szCs w:val="28"/>
        </w:rPr>
        <w:t>;</w:t>
      </w:r>
    </w:p>
    <w:p w14:paraId="11E9959E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 xml:space="preserve">створюють підстави для дискримінації. </w:t>
      </w:r>
    </w:p>
    <w:p w14:paraId="0E22F581" w14:textId="20E1CFB2" w:rsidR="00335710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lastRenderedPageBreak/>
        <w:t xml:space="preserve">Громадська антикорупційна, громадська </w:t>
      </w:r>
      <w:proofErr w:type="spellStart"/>
      <w:r w:rsidRPr="00921A97">
        <w:rPr>
          <w:rFonts w:eastAsia="Times New Roman"/>
          <w:sz w:val="28"/>
          <w:szCs w:val="28"/>
        </w:rPr>
        <w:t>антидискримінаційна</w:t>
      </w:r>
      <w:proofErr w:type="spellEnd"/>
      <w:r w:rsidRPr="00921A97">
        <w:rPr>
          <w:rFonts w:eastAsia="Times New Roman"/>
          <w:sz w:val="28"/>
          <w:szCs w:val="28"/>
        </w:rPr>
        <w:t xml:space="preserve"> та громадська гендерно-правова експертизи не проводилися</w:t>
      </w:r>
      <w:r w:rsidR="00892431">
        <w:rPr>
          <w:rFonts w:eastAsia="Times New Roman"/>
          <w:sz w:val="28"/>
          <w:szCs w:val="28"/>
        </w:rPr>
        <w:t>.</w:t>
      </w:r>
    </w:p>
    <w:p w14:paraId="4244B411" w14:textId="77777777" w:rsidR="004F7F1B" w:rsidRPr="0071420B" w:rsidRDefault="004F7F1B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</w:p>
    <w:p w14:paraId="69238D14" w14:textId="77777777"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</w:p>
    <w:p w14:paraId="48E2286B" w14:textId="5B7746C1" w:rsidR="009F3DB9" w:rsidRPr="009F3DB9" w:rsidRDefault="009F3DB9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F3DB9">
        <w:rPr>
          <w:rFonts w:eastAsia="Times New Roman"/>
          <w:sz w:val="28"/>
          <w:szCs w:val="28"/>
        </w:rPr>
        <w:t>Прийняття про</w:t>
      </w:r>
      <w:r w:rsidR="00B765EE">
        <w:rPr>
          <w:rFonts w:eastAsia="Times New Roman"/>
          <w:sz w:val="28"/>
          <w:szCs w:val="28"/>
        </w:rPr>
        <w:t>є</w:t>
      </w:r>
      <w:r w:rsidRPr="009F3DB9">
        <w:rPr>
          <w:rFonts w:eastAsia="Times New Roman"/>
          <w:sz w:val="28"/>
          <w:szCs w:val="28"/>
        </w:rPr>
        <w:t>кту Закону сприятиме спрямуванню дій Уряду та</w:t>
      </w:r>
      <w:r>
        <w:rPr>
          <w:rFonts w:eastAsia="Times New Roman"/>
          <w:sz w:val="28"/>
          <w:szCs w:val="28"/>
        </w:rPr>
        <w:t xml:space="preserve"> </w:t>
      </w:r>
      <w:r w:rsidRPr="009F3DB9">
        <w:rPr>
          <w:rFonts w:eastAsia="Times New Roman"/>
          <w:sz w:val="28"/>
          <w:szCs w:val="28"/>
        </w:rPr>
        <w:t xml:space="preserve">суб’єктів господарювання на забезпечення </w:t>
      </w:r>
      <w:r>
        <w:rPr>
          <w:rFonts w:eastAsia="Times New Roman"/>
          <w:sz w:val="28"/>
          <w:szCs w:val="28"/>
        </w:rPr>
        <w:t>економічної безпеки</w:t>
      </w:r>
      <w:r w:rsidRPr="009F3DB9">
        <w:rPr>
          <w:rFonts w:eastAsia="Times New Roman"/>
          <w:sz w:val="28"/>
          <w:szCs w:val="28"/>
        </w:rPr>
        <w:t xml:space="preserve"> України, підтримці діяльності суб’єктів</w:t>
      </w:r>
      <w:r w:rsidR="00E35E4B">
        <w:rPr>
          <w:rFonts w:eastAsia="Times New Roman"/>
          <w:sz w:val="28"/>
          <w:szCs w:val="28"/>
        </w:rPr>
        <w:t xml:space="preserve"> </w:t>
      </w:r>
      <w:r w:rsidRPr="009F3DB9">
        <w:rPr>
          <w:rFonts w:eastAsia="Times New Roman"/>
          <w:sz w:val="28"/>
          <w:szCs w:val="28"/>
        </w:rPr>
        <w:t>господарювання в період дії воєнного стану</w:t>
      </w:r>
      <w:r w:rsidR="00E35E4B">
        <w:rPr>
          <w:rFonts w:eastAsia="Times New Roman"/>
          <w:sz w:val="28"/>
          <w:szCs w:val="28"/>
        </w:rPr>
        <w:t>.</w:t>
      </w:r>
    </w:p>
    <w:p w14:paraId="40085175" w14:textId="72E9EB03" w:rsidR="009F3DB9" w:rsidRDefault="009F3DB9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F3DB9">
        <w:rPr>
          <w:rFonts w:eastAsia="Times New Roman"/>
          <w:sz w:val="28"/>
          <w:szCs w:val="28"/>
        </w:rPr>
        <w:t>Реалізація про</w:t>
      </w:r>
      <w:r w:rsidR="00B765EE">
        <w:rPr>
          <w:rFonts w:eastAsia="Times New Roman"/>
          <w:sz w:val="28"/>
          <w:szCs w:val="28"/>
        </w:rPr>
        <w:t>є</w:t>
      </w:r>
      <w:r w:rsidRPr="009F3DB9">
        <w:rPr>
          <w:rFonts w:eastAsia="Times New Roman"/>
          <w:sz w:val="28"/>
          <w:szCs w:val="28"/>
        </w:rPr>
        <w:t>кту Закону матиме вплив на інтереси заінтересованих</w:t>
      </w:r>
      <w:r w:rsidR="00E35E4B">
        <w:rPr>
          <w:rFonts w:eastAsia="Times New Roman"/>
          <w:sz w:val="28"/>
          <w:szCs w:val="28"/>
        </w:rPr>
        <w:t xml:space="preserve"> </w:t>
      </w:r>
      <w:r w:rsidRPr="009F3DB9">
        <w:rPr>
          <w:rFonts w:eastAsia="Times New Roman"/>
          <w:sz w:val="28"/>
          <w:szCs w:val="28"/>
        </w:rPr>
        <w:t>сторін:</w:t>
      </w:r>
    </w:p>
    <w:p w14:paraId="29D4E5F7" w14:textId="4ADD0543" w:rsidR="00E35E4B" w:rsidRPr="00E35E4B" w:rsidRDefault="00E35E4B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12"/>
          <w:szCs w:val="12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20"/>
        <w:gridCol w:w="3884"/>
      </w:tblGrid>
      <w:tr w:rsidR="00E35E4B" w14:paraId="1C975DB8" w14:textId="77777777" w:rsidTr="001653A6">
        <w:tc>
          <w:tcPr>
            <w:tcW w:w="2835" w:type="dxa"/>
          </w:tcPr>
          <w:p w14:paraId="5F7FD43D" w14:textId="49D1C743" w:rsidR="00E35E4B" w:rsidRPr="0071420B" w:rsidRDefault="00E35E4B" w:rsidP="00E35E4B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1420B">
              <w:rPr>
                <w:b/>
                <w:bCs/>
                <w:sz w:val="26"/>
                <w:szCs w:val="26"/>
              </w:rPr>
              <w:t>Заінтересована сторона</w:t>
            </w:r>
          </w:p>
        </w:tc>
        <w:tc>
          <w:tcPr>
            <w:tcW w:w="2920" w:type="dxa"/>
          </w:tcPr>
          <w:p w14:paraId="45FE000D" w14:textId="45F70151" w:rsidR="00E35E4B" w:rsidRPr="0071420B" w:rsidRDefault="00E35E4B" w:rsidP="00E35E4B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1420B">
              <w:rPr>
                <w:b/>
                <w:bCs/>
                <w:sz w:val="26"/>
                <w:szCs w:val="26"/>
              </w:rPr>
              <w:t>Вплив реалізації акта на заінтересовану сторону</w:t>
            </w:r>
          </w:p>
        </w:tc>
        <w:tc>
          <w:tcPr>
            <w:tcW w:w="3884" w:type="dxa"/>
          </w:tcPr>
          <w:p w14:paraId="3C54CF09" w14:textId="011CAE5B" w:rsidR="00E35E4B" w:rsidRPr="0071420B" w:rsidRDefault="00E35E4B" w:rsidP="00E35E4B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1420B">
              <w:rPr>
                <w:b/>
                <w:bCs/>
                <w:sz w:val="26"/>
                <w:szCs w:val="26"/>
              </w:rPr>
              <w:t>Пояснення очікуваного впливу</w:t>
            </w:r>
          </w:p>
        </w:tc>
      </w:tr>
      <w:tr w:rsidR="00E35E4B" w14:paraId="6D289619" w14:textId="77777777" w:rsidTr="001653A6">
        <w:tc>
          <w:tcPr>
            <w:tcW w:w="2835" w:type="dxa"/>
          </w:tcPr>
          <w:p w14:paraId="75F32053" w14:textId="17349503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Суб’єкти господарювання</w:t>
            </w:r>
          </w:p>
        </w:tc>
        <w:tc>
          <w:tcPr>
            <w:tcW w:w="2920" w:type="dxa"/>
          </w:tcPr>
          <w:p w14:paraId="0B2C111C" w14:textId="31C89BFF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Позитивний</w:t>
            </w:r>
          </w:p>
        </w:tc>
        <w:tc>
          <w:tcPr>
            <w:tcW w:w="3884" w:type="dxa"/>
          </w:tcPr>
          <w:p w14:paraId="34990383" w14:textId="7F8A94F8" w:rsidR="00E35E4B" w:rsidRPr="0071420B" w:rsidRDefault="00E35E4B" w:rsidP="001653A6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Встановлення додаткових гарантій ведення</w:t>
            </w:r>
            <w:r w:rsidR="001653A6">
              <w:rPr>
                <w:sz w:val="26"/>
                <w:szCs w:val="26"/>
              </w:rPr>
              <w:t xml:space="preserve"> </w:t>
            </w:r>
            <w:r w:rsidRPr="0071420B">
              <w:rPr>
                <w:sz w:val="26"/>
                <w:szCs w:val="26"/>
              </w:rPr>
              <w:t>господарської діяльності у сфера організації та проведення азартних ігор</w:t>
            </w:r>
            <w:r w:rsidR="009479CD" w:rsidRPr="0071420B">
              <w:rPr>
                <w:sz w:val="26"/>
                <w:szCs w:val="26"/>
              </w:rPr>
              <w:t>, а також у лотерейній сфері</w:t>
            </w:r>
            <w:r w:rsidRPr="0071420B">
              <w:rPr>
                <w:sz w:val="26"/>
                <w:szCs w:val="26"/>
              </w:rPr>
              <w:t xml:space="preserve"> в</w:t>
            </w:r>
            <w:r w:rsidR="0027134E">
              <w:rPr>
                <w:sz w:val="26"/>
                <w:szCs w:val="26"/>
              </w:rPr>
              <w:t xml:space="preserve"> </w:t>
            </w:r>
            <w:r w:rsidRPr="0071420B">
              <w:rPr>
                <w:sz w:val="26"/>
                <w:szCs w:val="26"/>
              </w:rPr>
              <w:t>період воєнного  стану в</w:t>
            </w:r>
            <w:r w:rsidR="0027134E">
              <w:rPr>
                <w:sz w:val="26"/>
                <w:szCs w:val="26"/>
              </w:rPr>
              <w:t xml:space="preserve"> </w:t>
            </w:r>
            <w:r w:rsidRPr="0071420B">
              <w:rPr>
                <w:sz w:val="26"/>
                <w:szCs w:val="26"/>
              </w:rPr>
              <w:t>Україні</w:t>
            </w:r>
          </w:p>
        </w:tc>
      </w:tr>
      <w:tr w:rsidR="00E35E4B" w14:paraId="192DBF7A" w14:textId="77777777" w:rsidTr="001653A6">
        <w:tc>
          <w:tcPr>
            <w:tcW w:w="2835" w:type="dxa"/>
          </w:tcPr>
          <w:p w14:paraId="4913314C" w14:textId="012FAD8E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Громадяни</w:t>
            </w:r>
          </w:p>
        </w:tc>
        <w:tc>
          <w:tcPr>
            <w:tcW w:w="2920" w:type="dxa"/>
          </w:tcPr>
          <w:p w14:paraId="0056FFF6" w14:textId="7406D288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Позитивний</w:t>
            </w:r>
          </w:p>
        </w:tc>
        <w:tc>
          <w:tcPr>
            <w:tcW w:w="3884" w:type="dxa"/>
          </w:tcPr>
          <w:p w14:paraId="24A6418F" w14:textId="55F5B777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Забезпечення функціонування бізнесу, наявність товарів та послуг, що надаються чи виробляються суб’єктами господарювання</w:t>
            </w:r>
          </w:p>
        </w:tc>
      </w:tr>
      <w:tr w:rsidR="00E35E4B" w14:paraId="28728EC9" w14:textId="77777777" w:rsidTr="001653A6">
        <w:tc>
          <w:tcPr>
            <w:tcW w:w="2835" w:type="dxa"/>
          </w:tcPr>
          <w:p w14:paraId="0B1779D9" w14:textId="777521A2" w:rsidR="00E35E4B" w:rsidRPr="0071420B" w:rsidRDefault="00E35E4B" w:rsidP="001653A6">
            <w:pPr>
              <w:widowControl w:val="0"/>
              <w:tabs>
                <w:tab w:val="center" w:pos="4819"/>
                <w:tab w:val="right" w:pos="9639"/>
              </w:tabs>
              <w:suppressAutoHyphens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Органи державної влади</w:t>
            </w:r>
          </w:p>
        </w:tc>
        <w:tc>
          <w:tcPr>
            <w:tcW w:w="2920" w:type="dxa"/>
          </w:tcPr>
          <w:p w14:paraId="1EAA3B19" w14:textId="3E90FD37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Позитивний</w:t>
            </w:r>
          </w:p>
        </w:tc>
        <w:tc>
          <w:tcPr>
            <w:tcW w:w="3884" w:type="dxa"/>
          </w:tcPr>
          <w:p w14:paraId="03A9E994" w14:textId="5217D4A3" w:rsidR="00E35E4B" w:rsidRPr="0071420B" w:rsidRDefault="00E35E4B" w:rsidP="0027134E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Підтримка функціонування</w:t>
            </w:r>
            <w:r w:rsidR="0027134E">
              <w:rPr>
                <w:sz w:val="26"/>
                <w:szCs w:val="26"/>
              </w:rPr>
              <w:t xml:space="preserve"> бізнесу в період дії воєнного </w:t>
            </w:r>
            <w:r w:rsidRPr="0071420B">
              <w:rPr>
                <w:sz w:val="26"/>
                <w:szCs w:val="26"/>
              </w:rPr>
              <w:t>стану, встановлення правових підстав для надання бізнесу додаткових гарантій в існуючих умовах</w:t>
            </w:r>
          </w:p>
        </w:tc>
      </w:tr>
    </w:tbl>
    <w:p w14:paraId="6E945064" w14:textId="77777777" w:rsidR="00E35E4B" w:rsidRPr="00E35E4B" w:rsidRDefault="00E35E4B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12"/>
          <w:szCs w:val="12"/>
        </w:rPr>
      </w:pPr>
    </w:p>
    <w:p w14:paraId="13E82A16" w14:textId="7749F368" w:rsidR="00E55B4F" w:rsidRDefault="00E55B4F" w:rsidP="00E55B4F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E55B4F">
        <w:rPr>
          <w:rFonts w:eastAsia="Times New Roman"/>
          <w:sz w:val="28"/>
          <w:szCs w:val="28"/>
        </w:rPr>
        <w:t xml:space="preserve">Реалізація проєкту </w:t>
      </w:r>
      <w:r w:rsidR="00D05611">
        <w:rPr>
          <w:rFonts w:eastAsia="Times New Roman"/>
          <w:sz w:val="28"/>
          <w:szCs w:val="28"/>
        </w:rPr>
        <w:t xml:space="preserve">Закону </w:t>
      </w:r>
      <w:r w:rsidRPr="00E55B4F">
        <w:rPr>
          <w:rFonts w:eastAsia="Times New Roman"/>
          <w:sz w:val="28"/>
          <w:szCs w:val="28"/>
        </w:rPr>
        <w:t xml:space="preserve">не матиме впливу </w:t>
      </w:r>
      <w:r w:rsidR="00216B2F">
        <w:rPr>
          <w:rFonts w:eastAsia="Times New Roman"/>
          <w:sz w:val="28"/>
          <w:szCs w:val="28"/>
        </w:rPr>
        <w:t xml:space="preserve">на </w:t>
      </w:r>
      <w:r w:rsidRPr="00E55B4F">
        <w:rPr>
          <w:rFonts w:eastAsia="Times New Roman"/>
          <w:sz w:val="28"/>
          <w:szCs w:val="28"/>
        </w:rPr>
        <w:t>розвиток регіонів, підвищення чи зниження спроможності територіальних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громад; екологію та навколишнє природне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середовище, обсяг природних ресурсів, рівень забруднення атмосферного повітря,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води, земель, зокрема забруднення утвореними відходами, інші суспільні відносини.</w:t>
      </w:r>
    </w:p>
    <w:p w14:paraId="2D921016" w14:textId="18D682E4"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>Прогноз очі</w:t>
      </w:r>
      <w:r w:rsidR="00394EF2" w:rsidRPr="002B4AAA">
        <w:rPr>
          <w:rFonts w:eastAsia="Times New Roman"/>
          <w:sz w:val="28"/>
          <w:szCs w:val="28"/>
          <w:lang w:eastAsia="uk-UA"/>
        </w:rPr>
        <w:t>куваних результатів реалізації 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r w:rsidR="00D05611">
        <w:rPr>
          <w:rFonts w:eastAsia="Times New Roman"/>
          <w:sz w:val="28"/>
          <w:szCs w:val="28"/>
          <w:lang w:eastAsia="uk-UA"/>
        </w:rPr>
        <w:t xml:space="preserve"> Закону</w:t>
      </w:r>
      <w:r w:rsidRPr="002B4AAA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</w:t>
      </w:r>
      <w:r w:rsidR="00EE1FD4">
        <w:rPr>
          <w:rFonts w:eastAsia="Times New Roman"/>
          <w:sz w:val="28"/>
          <w:szCs w:val="28"/>
          <w:lang w:eastAsia="uk-UA"/>
        </w:rPr>
        <w:t>, громадян</w:t>
      </w:r>
      <w:r w:rsidRPr="002B4AAA">
        <w:rPr>
          <w:rFonts w:eastAsia="Times New Roman"/>
          <w:sz w:val="28"/>
          <w:szCs w:val="28"/>
          <w:lang w:eastAsia="uk-UA"/>
        </w:rPr>
        <w:t xml:space="preserve"> </w:t>
      </w:r>
      <w:r w:rsidR="009D2F6A">
        <w:rPr>
          <w:rFonts w:eastAsia="Times New Roman"/>
          <w:sz w:val="28"/>
          <w:szCs w:val="28"/>
          <w:lang w:eastAsia="uk-UA"/>
        </w:rPr>
        <w:t xml:space="preserve">та суб’єктів </w:t>
      </w:r>
      <w:r w:rsidR="00EE1FD4">
        <w:rPr>
          <w:rFonts w:eastAsia="Times New Roman"/>
          <w:sz w:val="28"/>
          <w:szCs w:val="28"/>
          <w:lang w:eastAsia="uk-UA"/>
        </w:rPr>
        <w:t>господарювання</w:t>
      </w:r>
      <w:r w:rsidRPr="002B4AAA">
        <w:rPr>
          <w:rFonts w:eastAsia="Times New Roman"/>
          <w:sz w:val="28"/>
          <w:szCs w:val="28"/>
          <w:lang w:eastAsia="uk-UA"/>
        </w:rPr>
        <w:t xml:space="preserve">, а також не містить ризиків при реалізації положень </w:t>
      </w:r>
      <w:r w:rsidR="00394EF2" w:rsidRPr="002B4AAA">
        <w:rPr>
          <w:rFonts w:eastAsia="Times New Roman"/>
          <w:sz w:val="28"/>
          <w:szCs w:val="28"/>
          <w:lang w:eastAsia="uk-UA"/>
        </w:rPr>
        <w:t>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r w:rsidR="00D05611">
        <w:rPr>
          <w:rFonts w:eastAsia="Times New Roman"/>
          <w:sz w:val="28"/>
          <w:szCs w:val="28"/>
          <w:lang w:eastAsia="uk-UA"/>
        </w:rPr>
        <w:t xml:space="preserve"> Закону</w:t>
      </w:r>
      <w:r w:rsidRPr="002B4AAA">
        <w:rPr>
          <w:rFonts w:eastAsia="Times New Roman"/>
          <w:sz w:val="28"/>
          <w:szCs w:val="28"/>
        </w:rPr>
        <w:t>.</w:t>
      </w:r>
    </w:p>
    <w:p w14:paraId="577FEF03" w14:textId="77777777" w:rsidR="00335710" w:rsidRPr="002B4AAA" w:rsidRDefault="0033571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20129D1" w14:textId="77777777" w:rsidR="00A801E5" w:rsidRPr="002B4AAA" w:rsidRDefault="00A801E5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1AE2E0F" w14:textId="65D3C6D4" w:rsidR="00335710" w:rsidRPr="002B4AAA" w:rsidRDefault="00EE11CF" w:rsidP="004F7F1B">
      <w:pPr>
        <w:tabs>
          <w:tab w:val="left" w:pos="7088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В. о. Голови КРАІЛ                                                      Олена ВОДОЛАЖКО</w:t>
      </w:r>
    </w:p>
    <w:p w14:paraId="7229EE4E" w14:textId="2716F5AF" w:rsidR="00335710" w:rsidRPr="000574F5" w:rsidRDefault="00741837" w:rsidP="00A801E5">
      <w:pPr>
        <w:spacing w:after="200"/>
        <w:jc w:val="both"/>
        <w:rPr>
          <w:sz w:val="28"/>
          <w:szCs w:val="28"/>
        </w:rPr>
      </w:pPr>
      <w:bookmarkStart w:id="9" w:name="_heading=h.xkqmbsmrv6wu21"/>
      <w:bookmarkStart w:id="10" w:name="_heading=h.gwphwd4ryvt412"/>
      <w:bookmarkStart w:id="11" w:name="_heading=h.gwphwd4ryvt411"/>
      <w:bookmarkStart w:id="12" w:name="_heading=h.cw2azyb21peu1"/>
      <w:bookmarkStart w:id="13" w:name="_heading=h.tf2gk3lsnlrh1"/>
      <w:bookmarkStart w:id="14" w:name="_heading=h.hmqu6hyizdd1212"/>
      <w:bookmarkStart w:id="15" w:name="_heading=h.hmqu6hyizdd12111"/>
      <w:bookmarkEnd w:id="9"/>
      <w:bookmarkEnd w:id="10"/>
      <w:bookmarkEnd w:id="11"/>
      <w:bookmarkEnd w:id="12"/>
      <w:bookmarkEnd w:id="13"/>
      <w:bookmarkEnd w:id="14"/>
      <w:bookmarkEnd w:id="15"/>
      <w:r w:rsidRPr="000574F5">
        <w:rPr>
          <w:rFonts w:eastAsia="Times New Roman"/>
          <w:bCs/>
          <w:sz w:val="28"/>
          <w:szCs w:val="28"/>
        </w:rPr>
        <w:tab/>
      </w:r>
      <w:r w:rsidRPr="000574F5">
        <w:rPr>
          <w:rFonts w:eastAsia="Times New Roman"/>
          <w:bCs/>
          <w:sz w:val="28"/>
          <w:szCs w:val="28"/>
        </w:rPr>
        <w:tab/>
      </w:r>
    </w:p>
    <w:sectPr w:rsidR="00335710" w:rsidRPr="000574F5" w:rsidSect="0027134E">
      <w:headerReference w:type="default" r:id="rId8"/>
      <w:headerReference w:type="first" r:id="rId9"/>
      <w:pgSz w:w="11906" w:h="16838"/>
      <w:pgMar w:top="1134" w:right="567" w:bottom="1758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0EA99" w14:textId="77777777" w:rsidR="00E0368C" w:rsidRDefault="00E0368C">
      <w:r>
        <w:separator/>
      </w:r>
    </w:p>
  </w:endnote>
  <w:endnote w:type="continuationSeparator" w:id="0">
    <w:p w14:paraId="08B37D1E" w14:textId="77777777" w:rsidR="00E0368C" w:rsidRDefault="00E0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B2FDD" w14:textId="77777777" w:rsidR="00E0368C" w:rsidRDefault="00E0368C">
      <w:r>
        <w:separator/>
      </w:r>
    </w:p>
  </w:footnote>
  <w:footnote w:type="continuationSeparator" w:id="0">
    <w:p w14:paraId="1BE9F784" w14:textId="77777777" w:rsidR="00E0368C" w:rsidRDefault="00E0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E860" w14:textId="77777777" w:rsidR="00E55B4F" w:rsidRDefault="00E55B4F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FE0C1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F4E2" w14:textId="77777777" w:rsidR="00E55B4F" w:rsidRDefault="00E55B4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710"/>
    <w:rsid w:val="000174D4"/>
    <w:rsid w:val="000574F5"/>
    <w:rsid w:val="00070A7F"/>
    <w:rsid w:val="00071466"/>
    <w:rsid w:val="000C6F4B"/>
    <w:rsid w:val="000F12D7"/>
    <w:rsid w:val="00107A4B"/>
    <w:rsid w:val="00125DFD"/>
    <w:rsid w:val="001653A6"/>
    <w:rsid w:val="001D63FF"/>
    <w:rsid w:val="00204DF6"/>
    <w:rsid w:val="002059B2"/>
    <w:rsid w:val="00216B2F"/>
    <w:rsid w:val="002261E9"/>
    <w:rsid w:val="0027134E"/>
    <w:rsid w:val="002762B7"/>
    <w:rsid w:val="002A5033"/>
    <w:rsid w:val="002B4AAA"/>
    <w:rsid w:val="002E4C5E"/>
    <w:rsid w:val="00335710"/>
    <w:rsid w:val="0034718D"/>
    <w:rsid w:val="00363FAD"/>
    <w:rsid w:val="00394EF2"/>
    <w:rsid w:val="003A63FF"/>
    <w:rsid w:val="003D3CC5"/>
    <w:rsid w:val="00451927"/>
    <w:rsid w:val="004B7334"/>
    <w:rsid w:val="004D61B0"/>
    <w:rsid w:val="004E57A5"/>
    <w:rsid w:val="004F34B8"/>
    <w:rsid w:val="004F7F1B"/>
    <w:rsid w:val="005266A2"/>
    <w:rsid w:val="00557B20"/>
    <w:rsid w:val="0056649A"/>
    <w:rsid w:val="005E460A"/>
    <w:rsid w:val="00617C44"/>
    <w:rsid w:val="006302B3"/>
    <w:rsid w:val="00671E17"/>
    <w:rsid w:val="006A38C7"/>
    <w:rsid w:val="0071420B"/>
    <w:rsid w:val="00741837"/>
    <w:rsid w:val="00753606"/>
    <w:rsid w:val="00815C74"/>
    <w:rsid w:val="00844672"/>
    <w:rsid w:val="00892431"/>
    <w:rsid w:val="008F6F5F"/>
    <w:rsid w:val="00900893"/>
    <w:rsid w:val="00901B05"/>
    <w:rsid w:val="00921A97"/>
    <w:rsid w:val="00934E02"/>
    <w:rsid w:val="009479CD"/>
    <w:rsid w:val="00993790"/>
    <w:rsid w:val="009B08A6"/>
    <w:rsid w:val="009C3CB4"/>
    <w:rsid w:val="009D2F6A"/>
    <w:rsid w:val="009F3DB9"/>
    <w:rsid w:val="00A3636A"/>
    <w:rsid w:val="00A40926"/>
    <w:rsid w:val="00A72136"/>
    <w:rsid w:val="00A801E5"/>
    <w:rsid w:val="00A84EA2"/>
    <w:rsid w:val="00AB4D3B"/>
    <w:rsid w:val="00B13076"/>
    <w:rsid w:val="00B21244"/>
    <w:rsid w:val="00B765EE"/>
    <w:rsid w:val="00BC4234"/>
    <w:rsid w:val="00C11AA8"/>
    <w:rsid w:val="00CB5C8E"/>
    <w:rsid w:val="00CD3F4D"/>
    <w:rsid w:val="00D05611"/>
    <w:rsid w:val="00D3721B"/>
    <w:rsid w:val="00D604BF"/>
    <w:rsid w:val="00DA23F8"/>
    <w:rsid w:val="00DC3CCD"/>
    <w:rsid w:val="00DF5016"/>
    <w:rsid w:val="00E0368C"/>
    <w:rsid w:val="00E35D59"/>
    <w:rsid w:val="00E35E4B"/>
    <w:rsid w:val="00E55B4F"/>
    <w:rsid w:val="00EE0228"/>
    <w:rsid w:val="00EE11CF"/>
    <w:rsid w:val="00EE1FD4"/>
    <w:rsid w:val="00EE44DB"/>
    <w:rsid w:val="00F231B9"/>
    <w:rsid w:val="00F61406"/>
    <w:rsid w:val="00F66684"/>
    <w:rsid w:val="00F801C3"/>
    <w:rsid w:val="00FB551E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aa">
    <w:name w:val="Гіперпосилання"/>
    <w:rPr>
      <w:color w:val="000080"/>
      <w:u w:val="single"/>
    </w:rPr>
  </w:style>
  <w:style w:type="paragraph" w:customStyle="1" w:styleId="1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b">
    <w:name w:val="List"/>
    <w:basedOn w:val="a4"/>
    <w:uiPriority w:val="99"/>
    <w:rsid w:val="0026700B"/>
    <w:rPr>
      <w:rFonts w:cs="Arial"/>
    </w:rPr>
  </w:style>
  <w:style w:type="paragraph" w:styleId="ac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table" w:styleId="af3">
    <w:name w:val="Table Grid"/>
    <w:basedOn w:val="a1"/>
    <w:locked/>
    <w:rsid w:val="00E35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14FB-3F3D-4E5C-A2C1-9368C7DB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Guest_20</cp:lastModifiedBy>
  <cp:revision>2</cp:revision>
  <cp:lastPrinted>2021-10-23T08:31:00Z</cp:lastPrinted>
  <dcterms:created xsi:type="dcterms:W3CDTF">2022-08-01T10:40:00Z</dcterms:created>
  <dcterms:modified xsi:type="dcterms:W3CDTF">2022-08-01T10:40:00Z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