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74" w:rsidRPr="007C44E0" w:rsidRDefault="00E56374" w:rsidP="00E56374">
      <w:pPr>
        <w:jc w:val="center"/>
        <w:rPr>
          <w:rFonts w:ascii="Times New Roman" w:hAnsi="Times New Roman" w:cs="Times New Roman"/>
          <w:b/>
          <w:bCs/>
        </w:rPr>
      </w:pPr>
      <w:r w:rsidRPr="007C44E0">
        <w:rPr>
          <w:rFonts w:ascii="Times New Roman" w:hAnsi="Times New Roman" w:cs="Times New Roman"/>
          <w:b/>
          <w:bCs/>
        </w:rPr>
        <w:t>ПРОТОКОЛ УЗГОДЖЕННЯ ПОЗИЦІЙ</w:t>
      </w:r>
    </w:p>
    <w:p w:rsidR="00E56374" w:rsidRPr="007C44E0" w:rsidRDefault="00E56374" w:rsidP="00E56374">
      <w:pPr>
        <w:jc w:val="center"/>
        <w:rPr>
          <w:rFonts w:ascii="Times New Roman" w:hAnsi="Times New Roman" w:cs="Times New Roman"/>
          <w:b/>
        </w:rPr>
      </w:pPr>
      <w:r w:rsidRPr="007C44E0">
        <w:rPr>
          <w:rFonts w:ascii="Times New Roman" w:hAnsi="Times New Roman" w:cs="Times New Roman"/>
          <w:b/>
        </w:rPr>
        <w:t xml:space="preserve">щодо </w:t>
      </w:r>
      <w:proofErr w:type="spellStart"/>
      <w:r w:rsidRPr="007C44E0">
        <w:rPr>
          <w:rFonts w:ascii="Times New Roman" w:hAnsi="Times New Roman" w:cs="Times New Roman"/>
          <w:b/>
        </w:rPr>
        <w:t>проєкту</w:t>
      </w:r>
      <w:proofErr w:type="spellEnd"/>
      <w:r w:rsidRPr="007C44E0">
        <w:rPr>
          <w:rFonts w:ascii="Times New Roman" w:hAnsi="Times New Roman" w:cs="Times New Roman"/>
        </w:rPr>
        <w:t xml:space="preserve"> </w:t>
      </w:r>
      <w:r w:rsidRPr="007C44E0">
        <w:rPr>
          <w:rFonts w:ascii="Times New Roman" w:hAnsi="Times New Roman" w:cs="Times New Roman"/>
          <w:b/>
        </w:rPr>
        <w:t xml:space="preserve">рішення Комісії з регулювання азартних ігор та лотерей </w:t>
      </w:r>
    </w:p>
    <w:p w:rsidR="00E56374" w:rsidRPr="007C44E0" w:rsidRDefault="00E56374" w:rsidP="00E56374">
      <w:pPr>
        <w:jc w:val="center"/>
        <w:rPr>
          <w:rFonts w:ascii="Times New Roman" w:hAnsi="Times New Roman" w:cs="Times New Roman"/>
          <w:b/>
        </w:rPr>
      </w:pPr>
      <w:r w:rsidRPr="007C44E0">
        <w:rPr>
          <w:rFonts w:ascii="Times New Roman" w:hAnsi="Times New Roman" w:cs="Times New Roman"/>
          <w:b/>
        </w:rPr>
        <w:t>«</w:t>
      </w:r>
      <w:r w:rsidRPr="007C44E0">
        <w:rPr>
          <w:rFonts w:ascii="Times New Roman" w:eastAsia="Times New Roman" w:hAnsi="Times New Roman" w:cs="Times New Roman"/>
          <w:b/>
          <w:bCs/>
        </w:rPr>
        <w:t xml:space="preserve">Про затвердження Порядку </w:t>
      </w:r>
      <w:r w:rsidRPr="007C44E0">
        <w:rPr>
          <w:rFonts w:ascii="Times New Roman" w:hAnsi="Times New Roman" w:cs="Times New Roman"/>
          <w:b/>
        </w:rPr>
        <w:t>відшкодування фінансової шкоди внаслідок бездіяльності організатора азартних ігор»</w:t>
      </w:r>
    </w:p>
    <w:p w:rsidR="00E56374" w:rsidRPr="007C44E0" w:rsidRDefault="00E56374" w:rsidP="00E56374">
      <w:pPr>
        <w:jc w:val="center"/>
        <w:rPr>
          <w:rFonts w:ascii="Times New Roman" w:hAnsi="Times New Roman" w:cs="Times New Roman"/>
        </w:rPr>
      </w:pPr>
    </w:p>
    <w:p w:rsidR="00E56374" w:rsidRPr="007C44E0" w:rsidRDefault="00E56374" w:rsidP="00E56374">
      <w:pPr>
        <w:pStyle w:val="a3"/>
        <w:numPr>
          <w:ilvl w:val="0"/>
          <w:numId w:val="1"/>
        </w:numPr>
        <w:ind w:left="0" w:firstLine="0"/>
        <w:jc w:val="both"/>
        <w:rPr>
          <w:rFonts w:ascii="Times New Roman" w:hAnsi="Times New Roman" w:cs="Times New Roman"/>
          <w:b/>
        </w:rPr>
      </w:pPr>
      <w:r w:rsidRPr="007C44E0">
        <w:rPr>
          <w:rFonts w:ascii="Times New Roman" w:hAnsi="Times New Roman" w:cs="Times New Roman"/>
          <w:b/>
          <w:szCs w:val="24"/>
        </w:rPr>
        <w:t>Неврегульовані розбіжності</w:t>
      </w:r>
    </w:p>
    <w:tbl>
      <w:tblPr>
        <w:tblpPr w:leftFromText="180" w:rightFromText="180" w:vertAnchor="text" w:horzAnchor="margin" w:tblpXSpec="center" w:tblpY="23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678"/>
        <w:gridCol w:w="6379"/>
      </w:tblGrid>
      <w:tr w:rsidR="0016005A" w:rsidRPr="007C44E0" w:rsidTr="00CF1FAC">
        <w:tc>
          <w:tcPr>
            <w:tcW w:w="4219" w:type="dxa"/>
            <w:tcBorders>
              <w:top w:val="single" w:sz="4" w:space="0" w:color="auto"/>
              <w:left w:val="single" w:sz="4" w:space="0" w:color="auto"/>
            </w:tcBorders>
            <w:shd w:val="clear" w:color="auto" w:fill="auto"/>
            <w:vAlign w:val="center"/>
          </w:tcPr>
          <w:p w:rsidR="00E56374" w:rsidRPr="007C44E0" w:rsidRDefault="00E56374" w:rsidP="002B68EC">
            <w:pPr>
              <w:jc w:val="center"/>
              <w:rPr>
                <w:rFonts w:ascii="Times New Roman" w:hAnsi="Times New Roman" w:cs="Times New Roman"/>
              </w:rPr>
            </w:pPr>
            <w:r w:rsidRPr="007C44E0">
              <w:rPr>
                <w:rFonts w:ascii="Times New Roman" w:hAnsi="Times New Roman" w:cs="Times New Roman"/>
                <w:bCs/>
              </w:rPr>
              <w:t>Суть зауваження</w:t>
            </w:r>
          </w:p>
        </w:tc>
        <w:tc>
          <w:tcPr>
            <w:tcW w:w="4678" w:type="dxa"/>
            <w:tcBorders>
              <w:top w:val="single" w:sz="4" w:space="0" w:color="auto"/>
            </w:tcBorders>
            <w:shd w:val="clear" w:color="auto" w:fill="auto"/>
            <w:vAlign w:val="center"/>
          </w:tcPr>
          <w:p w:rsidR="00E56374" w:rsidRPr="007C44E0" w:rsidRDefault="00E56374" w:rsidP="002B68EC">
            <w:pPr>
              <w:jc w:val="center"/>
              <w:rPr>
                <w:rFonts w:ascii="Times New Roman" w:hAnsi="Times New Roman" w:cs="Times New Roman"/>
                <w:bCs/>
              </w:rPr>
            </w:pPr>
            <w:r w:rsidRPr="007C44E0">
              <w:rPr>
                <w:rFonts w:ascii="Times New Roman" w:hAnsi="Times New Roman" w:cs="Times New Roman"/>
                <w:bCs/>
              </w:rPr>
              <w:t>Положення</w:t>
            </w:r>
          </w:p>
          <w:p w:rsidR="00E56374" w:rsidRPr="007C44E0" w:rsidRDefault="00E56374" w:rsidP="002B68EC">
            <w:pPr>
              <w:jc w:val="center"/>
              <w:rPr>
                <w:rFonts w:ascii="Times New Roman" w:hAnsi="Times New Roman" w:cs="Times New Roman"/>
                <w:bCs/>
              </w:rPr>
            </w:pPr>
            <w:r w:rsidRPr="007C44E0">
              <w:rPr>
                <w:rFonts w:ascii="Times New Roman" w:hAnsi="Times New Roman" w:cs="Times New Roman"/>
                <w:bCs/>
              </w:rPr>
              <w:t xml:space="preserve">спірної частини </w:t>
            </w:r>
            <w:proofErr w:type="spellStart"/>
            <w:r w:rsidRPr="007C44E0">
              <w:rPr>
                <w:rFonts w:ascii="Times New Roman" w:hAnsi="Times New Roman" w:cs="Times New Roman"/>
                <w:bCs/>
              </w:rPr>
              <w:t>проєкту</w:t>
            </w:r>
            <w:proofErr w:type="spellEnd"/>
            <w:r w:rsidRPr="007C44E0">
              <w:rPr>
                <w:rFonts w:ascii="Times New Roman" w:hAnsi="Times New Roman" w:cs="Times New Roman"/>
                <w:bCs/>
              </w:rPr>
              <w:t xml:space="preserve"> акта</w:t>
            </w:r>
          </w:p>
          <w:p w:rsidR="00E56374" w:rsidRPr="007C44E0" w:rsidRDefault="00E56374" w:rsidP="002B68EC">
            <w:pPr>
              <w:jc w:val="center"/>
              <w:rPr>
                <w:rFonts w:ascii="Times New Roman" w:hAnsi="Times New Roman" w:cs="Times New Roman"/>
              </w:rPr>
            </w:pPr>
            <w:r w:rsidRPr="007C44E0">
              <w:rPr>
                <w:rFonts w:ascii="Times New Roman" w:hAnsi="Times New Roman" w:cs="Times New Roman"/>
                <w:bCs/>
              </w:rPr>
              <w:t>(у разі потреби)</w:t>
            </w:r>
          </w:p>
        </w:tc>
        <w:tc>
          <w:tcPr>
            <w:tcW w:w="6379" w:type="dxa"/>
            <w:tcBorders>
              <w:top w:val="single" w:sz="4" w:space="0" w:color="auto"/>
              <w:right w:val="single" w:sz="4" w:space="0" w:color="auto"/>
            </w:tcBorders>
            <w:shd w:val="clear" w:color="auto" w:fill="auto"/>
            <w:vAlign w:val="center"/>
          </w:tcPr>
          <w:p w:rsidR="00E56374" w:rsidRPr="007C44E0" w:rsidRDefault="00E56374" w:rsidP="002B68EC">
            <w:pPr>
              <w:jc w:val="center"/>
              <w:rPr>
                <w:rFonts w:ascii="Times New Roman" w:hAnsi="Times New Roman" w:cs="Times New Roman"/>
                <w:bCs/>
              </w:rPr>
            </w:pPr>
            <w:r w:rsidRPr="007C44E0">
              <w:rPr>
                <w:rFonts w:ascii="Times New Roman" w:hAnsi="Times New Roman" w:cs="Times New Roman"/>
                <w:bCs/>
              </w:rPr>
              <w:t>Аргументи розробника</w:t>
            </w:r>
          </w:p>
          <w:p w:rsidR="00E56374" w:rsidRPr="007C44E0" w:rsidRDefault="00E56374" w:rsidP="002B68EC">
            <w:pPr>
              <w:jc w:val="center"/>
              <w:rPr>
                <w:rFonts w:ascii="Times New Roman" w:hAnsi="Times New Roman" w:cs="Times New Roman"/>
              </w:rPr>
            </w:pPr>
            <w:r w:rsidRPr="007C44E0">
              <w:rPr>
                <w:rFonts w:ascii="Times New Roman" w:hAnsi="Times New Roman" w:cs="Times New Roman"/>
                <w:bCs/>
              </w:rPr>
              <w:t>щодо відхилення зауважень</w:t>
            </w:r>
          </w:p>
        </w:tc>
      </w:tr>
      <w:tr w:rsidR="0016005A" w:rsidRPr="007C44E0" w:rsidTr="0027091F">
        <w:tc>
          <w:tcPr>
            <w:tcW w:w="15276" w:type="dxa"/>
            <w:gridSpan w:val="3"/>
            <w:tcBorders>
              <w:top w:val="single" w:sz="4" w:space="0" w:color="auto"/>
              <w:left w:val="single" w:sz="4" w:space="0" w:color="auto"/>
              <w:right w:val="single" w:sz="4" w:space="0" w:color="auto"/>
            </w:tcBorders>
            <w:shd w:val="clear" w:color="auto" w:fill="auto"/>
            <w:vAlign w:val="center"/>
          </w:tcPr>
          <w:p w:rsidR="00E56374" w:rsidRPr="007C44E0" w:rsidRDefault="00E56374" w:rsidP="00E56374">
            <w:pPr>
              <w:jc w:val="center"/>
              <w:rPr>
                <w:rFonts w:ascii="Times New Roman" w:hAnsi="Times New Roman" w:cs="Times New Roman"/>
                <w:shd w:val="clear" w:color="auto" w:fill="FFFFFF"/>
              </w:rPr>
            </w:pPr>
          </w:p>
        </w:tc>
      </w:tr>
      <w:tr w:rsidR="0016005A" w:rsidRPr="007C44E0" w:rsidTr="0027091F">
        <w:tc>
          <w:tcPr>
            <w:tcW w:w="15276" w:type="dxa"/>
            <w:gridSpan w:val="3"/>
            <w:tcBorders>
              <w:top w:val="single" w:sz="4" w:space="0" w:color="auto"/>
              <w:left w:val="nil"/>
              <w:bottom w:val="single" w:sz="4" w:space="0" w:color="auto"/>
              <w:right w:val="nil"/>
            </w:tcBorders>
            <w:shd w:val="clear" w:color="auto" w:fill="auto"/>
          </w:tcPr>
          <w:p w:rsidR="005179E7" w:rsidRDefault="005179E7" w:rsidP="005179E7">
            <w:pPr>
              <w:jc w:val="both"/>
              <w:rPr>
                <w:rFonts w:ascii="Times New Roman" w:hAnsi="Times New Roman" w:cs="Times New Roman"/>
                <w:b/>
                <w:bCs/>
                <w:shd w:val="clear" w:color="auto" w:fill="FFFFFF"/>
              </w:rPr>
            </w:pPr>
          </w:p>
          <w:p w:rsidR="00E56374" w:rsidRPr="007C44E0" w:rsidRDefault="005179E7" w:rsidP="005179E7">
            <w:pPr>
              <w:jc w:val="both"/>
              <w:rPr>
                <w:rFonts w:ascii="Times New Roman" w:hAnsi="Times New Roman" w:cs="Times New Roman"/>
                <w:b/>
                <w:bCs/>
                <w:shd w:val="clear" w:color="auto" w:fill="FFFFFF"/>
              </w:rPr>
            </w:pPr>
            <w:r w:rsidRPr="007C44E0">
              <w:rPr>
                <w:rFonts w:ascii="Times New Roman" w:hAnsi="Times New Roman" w:cs="Times New Roman"/>
                <w:b/>
                <w:bCs/>
                <w:shd w:val="clear" w:color="auto" w:fill="FFFFFF"/>
              </w:rPr>
              <w:t>2. Враховані зауваження</w:t>
            </w:r>
          </w:p>
          <w:p w:rsidR="00E56374" w:rsidRPr="007C44E0" w:rsidRDefault="00E56374" w:rsidP="002B68EC">
            <w:pPr>
              <w:jc w:val="both"/>
              <w:rPr>
                <w:rFonts w:ascii="Times New Roman" w:hAnsi="Times New Roman" w:cs="Times New Roman"/>
              </w:rPr>
            </w:pPr>
          </w:p>
        </w:tc>
      </w:tr>
      <w:tr w:rsidR="0016005A" w:rsidRPr="007C44E0" w:rsidTr="00CF1FA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E56374" w:rsidRPr="007C44E0" w:rsidRDefault="00E56374" w:rsidP="002B68EC">
            <w:pPr>
              <w:jc w:val="center"/>
              <w:rPr>
                <w:rFonts w:ascii="Times New Roman" w:hAnsi="Times New Roman" w:cs="Times New Roman"/>
              </w:rPr>
            </w:pPr>
            <w:r w:rsidRPr="007C44E0">
              <w:rPr>
                <w:rFonts w:ascii="Times New Roman" w:hAnsi="Times New Roman" w:cs="Times New Roman"/>
                <w:bCs/>
              </w:rPr>
              <w:t>Суть зауваження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6374" w:rsidRPr="007C44E0" w:rsidRDefault="00E56374" w:rsidP="002B68EC">
            <w:pPr>
              <w:jc w:val="center"/>
              <w:rPr>
                <w:rFonts w:ascii="Times New Roman" w:hAnsi="Times New Roman" w:cs="Times New Roman"/>
                <w:bCs/>
              </w:rPr>
            </w:pPr>
            <w:r w:rsidRPr="007C44E0">
              <w:rPr>
                <w:rFonts w:ascii="Times New Roman" w:hAnsi="Times New Roman" w:cs="Times New Roman"/>
                <w:bCs/>
              </w:rPr>
              <w:t>Положення</w:t>
            </w:r>
          </w:p>
          <w:p w:rsidR="00E56374" w:rsidRPr="007C44E0" w:rsidRDefault="00E56374" w:rsidP="002B68EC">
            <w:pPr>
              <w:jc w:val="center"/>
              <w:rPr>
                <w:rFonts w:ascii="Times New Roman" w:hAnsi="Times New Roman" w:cs="Times New Roman"/>
                <w:bCs/>
              </w:rPr>
            </w:pPr>
            <w:r w:rsidRPr="007C44E0">
              <w:rPr>
                <w:rFonts w:ascii="Times New Roman" w:hAnsi="Times New Roman" w:cs="Times New Roman"/>
                <w:bCs/>
              </w:rPr>
              <w:t xml:space="preserve">спірної частини </w:t>
            </w:r>
            <w:proofErr w:type="spellStart"/>
            <w:r w:rsidRPr="007C44E0">
              <w:rPr>
                <w:rFonts w:ascii="Times New Roman" w:hAnsi="Times New Roman" w:cs="Times New Roman"/>
                <w:bCs/>
              </w:rPr>
              <w:t>проєкту</w:t>
            </w:r>
            <w:proofErr w:type="spellEnd"/>
            <w:r w:rsidRPr="007C44E0">
              <w:rPr>
                <w:rFonts w:ascii="Times New Roman" w:hAnsi="Times New Roman" w:cs="Times New Roman"/>
                <w:bCs/>
              </w:rPr>
              <w:t xml:space="preserve"> акта</w:t>
            </w:r>
          </w:p>
          <w:p w:rsidR="00E56374" w:rsidRPr="007C44E0" w:rsidRDefault="00E56374" w:rsidP="002B68EC">
            <w:pPr>
              <w:jc w:val="center"/>
              <w:rPr>
                <w:rFonts w:ascii="Times New Roman" w:hAnsi="Times New Roman" w:cs="Times New Roman"/>
              </w:rPr>
            </w:pPr>
            <w:r w:rsidRPr="007C44E0">
              <w:rPr>
                <w:rFonts w:ascii="Times New Roman" w:hAnsi="Times New Roman" w:cs="Times New Roman"/>
                <w:bCs/>
              </w:rPr>
              <w:t>(у разі потреби)</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6374" w:rsidRPr="007C44E0" w:rsidRDefault="00E56374" w:rsidP="002B68EC">
            <w:pPr>
              <w:jc w:val="center"/>
              <w:rPr>
                <w:rFonts w:ascii="Times New Roman" w:hAnsi="Times New Roman" w:cs="Times New Roman"/>
              </w:rPr>
            </w:pPr>
            <w:r w:rsidRPr="007C44E0">
              <w:rPr>
                <w:rFonts w:ascii="Times New Roman" w:hAnsi="Times New Roman" w:cs="Times New Roman"/>
                <w:bCs/>
              </w:rPr>
              <w:t>Спосіб врахування</w:t>
            </w:r>
          </w:p>
        </w:tc>
      </w:tr>
      <w:tr w:rsidR="0016005A" w:rsidRPr="007C44E0" w:rsidTr="0027091F">
        <w:tc>
          <w:tcPr>
            <w:tcW w:w="15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6374" w:rsidRPr="007C44E0" w:rsidRDefault="00E56374" w:rsidP="002B68EC">
            <w:pPr>
              <w:jc w:val="center"/>
              <w:rPr>
                <w:rFonts w:ascii="Times New Roman" w:hAnsi="Times New Roman" w:cs="Times New Roman"/>
                <w:shd w:val="clear" w:color="auto" w:fill="FFFFFF"/>
              </w:rPr>
            </w:pPr>
            <w:r w:rsidRPr="007C44E0">
              <w:rPr>
                <w:rFonts w:ascii="Times New Roman" w:hAnsi="Times New Roman" w:cs="Times New Roman"/>
                <w:shd w:val="clear" w:color="auto" w:fill="FFFFFF"/>
              </w:rPr>
              <w:t>Міністерство соціальної політики  України</w:t>
            </w:r>
          </w:p>
        </w:tc>
      </w:tr>
      <w:tr w:rsidR="0016005A" w:rsidRPr="007C44E0" w:rsidTr="0027091F">
        <w:tc>
          <w:tcPr>
            <w:tcW w:w="15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6374" w:rsidRPr="007C44E0" w:rsidRDefault="00E56374" w:rsidP="002B68EC">
            <w:pPr>
              <w:jc w:val="center"/>
              <w:rPr>
                <w:rFonts w:ascii="Times New Roman" w:hAnsi="Times New Roman" w:cs="Times New Roman"/>
              </w:rPr>
            </w:pPr>
            <w:r w:rsidRPr="007C44E0">
              <w:rPr>
                <w:rFonts w:ascii="Times New Roman" w:eastAsia="Times New Roman" w:hAnsi="Times New Roman" w:cs="Times New Roman"/>
                <w:b/>
                <w:bCs/>
              </w:rPr>
              <w:t xml:space="preserve">Порядок </w:t>
            </w:r>
            <w:r w:rsidRPr="007C44E0">
              <w:rPr>
                <w:rFonts w:ascii="Times New Roman" w:hAnsi="Times New Roman" w:cs="Times New Roman"/>
                <w:b/>
              </w:rPr>
              <w:t>відшкодування фінансової шкоди внаслідок бездіяльності організатора азартних ігор</w:t>
            </w:r>
          </w:p>
        </w:tc>
      </w:tr>
      <w:tr w:rsidR="00183228" w:rsidRPr="007C44E0" w:rsidTr="00FA12E7">
        <w:trPr>
          <w:trHeight w:val="1911"/>
        </w:trPr>
        <w:tc>
          <w:tcPr>
            <w:tcW w:w="4219" w:type="dxa"/>
            <w:tcBorders>
              <w:top w:val="single" w:sz="4" w:space="0" w:color="auto"/>
              <w:left w:val="single" w:sz="4" w:space="0" w:color="auto"/>
              <w:bottom w:val="single" w:sz="4" w:space="0" w:color="auto"/>
              <w:right w:val="single" w:sz="4" w:space="0" w:color="auto"/>
            </w:tcBorders>
            <w:shd w:val="clear" w:color="auto" w:fill="auto"/>
          </w:tcPr>
          <w:p w:rsidR="00183228" w:rsidRPr="005F5612" w:rsidRDefault="00183228" w:rsidP="00183228">
            <w:pPr>
              <w:ind w:firstLine="426"/>
              <w:jc w:val="both"/>
              <w:rPr>
                <w:rFonts w:ascii="Times New Roman" w:hAnsi="Times New Roman" w:cs="Times New Roman"/>
              </w:rPr>
            </w:pPr>
            <w:r w:rsidRPr="005F5612">
              <w:rPr>
                <w:rFonts w:ascii="Times New Roman" w:hAnsi="Times New Roman" w:cs="Times New Roman"/>
              </w:rPr>
              <w:t xml:space="preserve">Пункти 2 та 3 проекту Порядку відшкодування фінансової шкоди внаслідок бездіяльності організатора азартних ігор (далі – проект Порядку) потребують узгодження в частині визначення осіб, участь яких в азартній грі заборонена. </w:t>
            </w:r>
          </w:p>
          <w:p w:rsidR="00183228" w:rsidRPr="005F5612" w:rsidRDefault="00183228" w:rsidP="00183228">
            <w:pPr>
              <w:ind w:firstLine="426"/>
              <w:jc w:val="both"/>
              <w:rPr>
                <w:rFonts w:ascii="Times New Roman" w:hAnsi="Times New Roman" w:cs="Times New Roman"/>
              </w:rPr>
            </w:pPr>
            <w:r w:rsidRPr="005F5612">
              <w:rPr>
                <w:rFonts w:ascii="Times New Roman" w:hAnsi="Times New Roman" w:cs="Times New Roman"/>
              </w:rPr>
              <w:t xml:space="preserve">Оскільки пунктом 2 частини другої статті 16 Закону України ,,Про державне регулювання діяльності щодо організації та проведення азартних ігор” встановлено, що з метою мінімізації негативного впливу азартних ігор організатори азартних ігор зобов’язані дотримуватися принципів відповідальної гри, зокрема у випадках та порядку, встановлених </w:t>
            </w:r>
            <w:r w:rsidRPr="005F5612">
              <w:rPr>
                <w:rFonts w:ascii="Times New Roman" w:hAnsi="Times New Roman" w:cs="Times New Roman"/>
              </w:rPr>
              <w:lastRenderedPageBreak/>
              <w:t>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w:t>
            </w:r>
            <w:proofErr w:type="spellStart"/>
            <w:r w:rsidRPr="005F5612">
              <w:rPr>
                <w:rFonts w:ascii="Times New Roman" w:hAnsi="Times New Roman" w:cs="Times New Roman"/>
              </w:rPr>
              <w:t>лудоманія</w:t>
            </w:r>
            <w:proofErr w:type="spellEnd"/>
            <w:r w:rsidRPr="005F5612">
              <w:rPr>
                <w:rFonts w:ascii="Times New Roman" w:hAnsi="Times New Roman" w:cs="Times New Roman"/>
              </w:rPr>
              <w:t>).</w:t>
            </w:r>
          </w:p>
          <w:p w:rsidR="00183228" w:rsidRPr="005F5612" w:rsidRDefault="00183228" w:rsidP="00183228">
            <w:pPr>
              <w:ind w:firstLine="426"/>
              <w:jc w:val="both"/>
              <w:rPr>
                <w:rFonts w:ascii="Times New Roman" w:hAnsi="Times New Roman" w:cs="Times New Roman"/>
              </w:rPr>
            </w:pPr>
            <w:r w:rsidRPr="005F5612">
              <w:rPr>
                <w:rFonts w:ascii="Times New Roman" w:hAnsi="Times New Roman" w:cs="Times New Roman"/>
              </w:rPr>
              <w:t>З огляду на викладене пропонується в пункті 3 проекту Порядку: абзац третій викласти в такій редакції:</w:t>
            </w:r>
          </w:p>
          <w:p w:rsidR="00183228" w:rsidRPr="007C44E0" w:rsidRDefault="00183228" w:rsidP="00183228">
            <w:pPr>
              <w:ind w:firstLine="426"/>
              <w:jc w:val="both"/>
              <w:rPr>
                <w:rFonts w:ascii="Times New Roman" w:hAnsi="Times New Roman" w:cs="Times New Roman"/>
                <w:b/>
                <w:bCs/>
                <w:i/>
              </w:rPr>
            </w:pPr>
            <w:r w:rsidRPr="005F5612">
              <w:rPr>
                <w:rFonts w:ascii="Times New Roman" w:hAnsi="Times New Roman" w:cs="Times New Roman"/>
              </w:rPr>
              <w:t>«особи, участь яких в азартній грі заборонена Законом та іншими законами” – це особи, які не досягли 21-річного віку, особи, відомості щодо яких внесено до Реєстру осіб, яким обмежено доступ до гральних закладів та/або участь в азартних іграх</w:t>
            </w:r>
            <w:r w:rsidRPr="005F5612">
              <w:rPr>
                <w:rFonts w:ascii="Times New Roman" w:hAnsi="Times New Roman" w:cs="Times New Roman"/>
                <w:b/>
              </w:rPr>
              <w:t>, та особи з вираженою ігровою залежністю (</w:t>
            </w:r>
            <w:proofErr w:type="spellStart"/>
            <w:r w:rsidRPr="005F5612">
              <w:rPr>
                <w:rFonts w:ascii="Times New Roman" w:hAnsi="Times New Roman" w:cs="Times New Roman"/>
                <w:b/>
              </w:rPr>
              <w:t>лудоманією</w:t>
            </w:r>
            <w:proofErr w:type="spellEnd"/>
            <w:r w:rsidRPr="005F5612">
              <w:rPr>
                <w:rFonts w:ascii="Times New Roman" w:hAnsi="Times New Roman" w:cs="Times New Roman"/>
                <w:b/>
              </w:rPr>
              <w:t>)</w:t>
            </w:r>
            <w:r w:rsidRPr="005F5612">
              <w:rPr>
                <w:rFonts w:ascii="Times New Roman" w:hAnsi="Times New Roman" w:cs="Times New Roman"/>
              </w:rPr>
              <w:t xml:space="preserve"> (далі – особи);».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83228" w:rsidRDefault="00183228" w:rsidP="00183228">
            <w:pPr>
              <w:pStyle w:val="rvps2"/>
              <w:shd w:val="clear" w:color="auto" w:fill="FFFFFF"/>
              <w:spacing w:before="0" w:beforeAutospacing="0" w:after="0" w:afterAutospacing="0"/>
              <w:ind w:firstLine="448"/>
              <w:jc w:val="both"/>
              <w:rPr>
                <w:rFonts w:eastAsia="Calibri"/>
                <w:lang w:val="uk-UA"/>
              </w:rPr>
            </w:pPr>
          </w:p>
          <w:p w:rsidR="00183228" w:rsidRDefault="00183228" w:rsidP="00183228">
            <w:pPr>
              <w:pStyle w:val="rvps2"/>
              <w:shd w:val="clear" w:color="auto" w:fill="FFFFFF"/>
              <w:spacing w:before="0" w:beforeAutospacing="0" w:after="0" w:afterAutospacing="0"/>
              <w:ind w:firstLine="448"/>
              <w:jc w:val="both"/>
              <w:rPr>
                <w:rFonts w:eastAsia="Calibri"/>
                <w:lang w:val="uk-UA"/>
              </w:rPr>
            </w:pPr>
          </w:p>
          <w:p w:rsidR="00183228" w:rsidRPr="007C44E0" w:rsidRDefault="00183228" w:rsidP="00183228">
            <w:pPr>
              <w:pStyle w:val="rvps2"/>
              <w:shd w:val="clear" w:color="auto" w:fill="FFFFFF"/>
              <w:spacing w:before="0" w:beforeAutospacing="0" w:after="0" w:afterAutospacing="0"/>
              <w:ind w:firstLine="448"/>
              <w:jc w:val="both"/>
              <w:rPr>
                <w:rFonts w:eastAsiaTheme="minorHAnsi"/>
                <w:lang w:val="uk-UA" w:eastAsia="en-US"/>
              </w:rPr>
            </w:pPr>
            <w:r w:rsidRPr="007C44E0">
              <w:rPr>
                <w:rFonts w:eastAsia="Calibri"/>
                <w:lang w:val="uk-UA"/>
              </w:rPr>
              <w:t>3</w:t>
            </w:r>
            <w:r w:rsidRPr="007C44E0">
              <w:rPr>
                <w:rFonts w:eastAsiaTheme="minorHAnsi"/>
                <w:lang w:val="uk-UA" w:eastAsia="en-US"/>
              </w:rPr>
              <w:t>. У цьому Порядку терміни вживаються в таких значеннях:</w:t>
            </w:r>
          </w:p>
          <w:p w:rsidR="00183228" w:rsidRPr="007C44E0" w:rsidRDefault="00183228" w:rsidP="00183228">
            <w:pPr>
              <w:pStyle w:val="rvps2"/>
              <w:shd w:val="clear" w:color="auto" w:fill="FFFFFF"/>
              <w:spacing w:before="0" w:beforeAutospacing="0" w:after="0" w:afterAutospacing="0"/>
              <w:ind w:firstLine="448"/>
              <w:jc w:val="center"/>
              <w:rPr>
                <w:rFonts w:eastAsiaTheme="minorHAnsi"/>
                <w:lang w:val="uk-UA" w:eastAsia="en-US"/>
              </w:rPr>
            </w:pPr>
            <w:r w:rsidRPr="007C44E0">
              <w:rPr>
                <w:rFonts w:eastAsiaTheme="minorHAnsi"/>
                <w:lang w:val="uk-UA" w:eastAsia="en-US"/>
              </w:rPr>
              <w:t>(…)</w:t>
            </w:r>
          </w:p>
          <w:p w:rsidR="00183228" w:rsidRDefault="00183228" w:rsidP="00183228">
            <w:pPr>
              <w:ind w:firstLine="459"/>
              <w:jc w:val="both"/>
              <w:rPr>
                <w:rFonts w:ascii="Times New Roman" w:eastAsiaTheme="minorHAnsi" w:hAnsi="Times New Roman" w:cs="Times New Roman"/>
                <w:lang w:eastAsia="en-US"/>
              </w:rPr>
            </w:pPr>
            <w:r w:rsidRPr="007C44E0">
              <w:rPr>
                <w:rFonts w:ascii="Times New Roman" w:eastAsiaTheme="minorHAnsi" w:hAnsi="Times New Roman" w:cs="Times New Roman"/>
                <w:lang w:eastAsia="en-US"/>
              </w:rPr>
              <w:t>особи, участь яких в азартній грі заборонена Законом та іншими законами -  особи, які не досягли 21-річного віку, та особи, відомості щодо яких внесено до Реєстру осіб, яким обмежено доступ до гральних закладів та/або участь в азартних іграх (далі – особи);</w:t>
            </w:r>
          </w:p>
          <w:p w:rsidR="00183228" w:rsidRDefault="00183228" w:rsidP="00183228">
            <w:pPr>
              <w:pStyle w:val="rvps2"/>
              <w:shd w:val="clear" w:color="auto" w:fill="FFFFFF"/>
              <w:spacing w:before="0" w:beforeAutospacing="0" w:after="0" w:afterAutospacing="0"/>
              <w:ind w:firstLine="448"/>
              <w:jc w:val="center"/>
              <w:rPr>
                <w:rFonts w:eastAsiaTheme="minorHAnsi"/>
                <w:lang w:val="uk-UA" w:eastAsia="en-US"/>
              </w:rPr>
            </w:pPr>
          </w:p>
          <w:p w:rsidR="00183228" w:rsidRPr="007C44E0" w:rsidRDefault="00183228" w:rsidP="00183228">
            <w:pPr>
              <w:pStyle w:val="rvps2"/>
              <w:shd w:val="clear" w:color="auto" w:fill="FFFFFF"/>
              <w:spacing w:before="0" w:beforeAutospacing="0" w:after="0" w:afterAutospacing="0"/>
              <w:ind w:firstLine="448"/>
              <w:jc w:val="center"/>
              <w:rPr>
                <w:rFonts w:eastAsiaTheme="minorHAnsi"/>
                <w:lang w:val="uk-UA" w:eastAsia="en-US"/>
              </w:rPr>
            </w:pPr>
            <w:r w:rsidRPr="007C44E0">
              <w:rPr>
                <w:rFonts w:eastAsiaTheme="minorHAnsi"/>
                <w:lang w:val="uk-UA" w:eastAsia="en-US"/>
              </w:rPr>
              <w:t>(…)</w:t>
            </w:r>
          </w:p>
          <w:p w:rsidR="00183228" w:rsidRPr="007C44E0" w:rsidRDefault="00183228" w:rsidP="00183228">
            <w:pPr>
              <w:ind w:firstLine="459"/>
              <w:jc w:val="both"/>
              <w:rPr>
                <w:rFonts w:ascii="Times New Roman" w:hAnsi="Times New Roman" w:cs="Times New Roman"/>
                <w:b/>
                <w:bCs/>
                <w:i/>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183228" w:rsidRPr="007C44E0" w:rsidRDefault="00183228" w:rsidP="005F5612">
            <w:pPr>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Враховано в інший спосіб</w:t>
            </w:r>
            <w:r w:rsidR="005F5612">
              <w:rPr>
                <w:rFonts w:ascii="Times New Roman" w:eastAsiaTheme="minorHAnsi" w:hAnsi="Times New Roman" w:cs="Times New Roman"/>
                <w:b/>
                <w:lang w:eastAsia="en-US"/>
              </w:rPr>
              <w:t>.</w:t>
            </w:r>
          </w:p>
          <w:p w:rsidR="00183228" w:rsidRDefault="00183228" w:rsidP="00183228">
            <w:pPr>
              <w:ind w:firstLine="459"/>
              <w:jc w:val="both"/>
              <w:rPr>
                <w:rFonts w:ascii="Times New Roman" w:hAnsi="Times New Roman" w:cs="Times New Roman"/>
              </w:rPr>
            </w:pPr>
          </w:p>
          <w:p w:rsidR="00183228" w:rsidRPr="007C44E0" w:rsidRDefault="00183228" w:rsidP="00183228">
            <w:pPr>
              <w:pStyle w:val="rvps2"/>
              <w:shd w:val="clear" w:color="auto" w:fill="FFFFFF"/>
              <w:spacing w:before="0" w:beforeAutospacing="0" w:after="0" w:afterAutospacing="0"/>
              <w:ind w:firstLine="448"/>
              <w:jc w:val="both"/>
              <w:rPr>
                <w:rFonts w:eastAsiaTheme="minorHAnsi"/>
                <w:lang w:val="uk-UA" w:eastAsia="en-US"/>
              </w:rPr>
            </w:pPr>
            <w:r>
              <w:rPr>
                <w:bCs/>
              </w:rPr>
              <w:t xml:space="preserve"> </w:t>
            </w:r>
            <w:r w:rsidRPr="00C16511">
              <w:rPr>
                <w:bCs/>
              </w:rPr>
              <w:t xml:space="preserve"> </w:t>
            </w:r>
            <w:r w:rsidRPr="007C44E0">
              <w:rPr>
                <w:rFonts w:eastAsia="Calibri"/>
                <w:lang w:val="uk-UA"/>
              </w:rPr>
              <w:t>3</w:t>
            </w:r>
            <w:r w:rsidRPr="007C44E0">
              <w:rPr>
                <w:rFonts w:eastAsiaTheme="minorHAnsi"/>
                <w:lang w:val="uk-UA" w:eastAsia="en-US"/>
              </w:rPr>
              <w:t>. У цьому Порядку терміни вживаються в таких значеннях:</w:t>
            </w:r>
          </w:p>
          <w:p w:rsidR="00183228" w:rsidRPr="007C44E0" w:rsidRDefault="00183228" w:rsidP="00183228">
            <w:pPr>
              <w:pStyle w:val="rvps2"/>
              <w:shd w:val="clear" w:color="auto" w:fill="FFFFFF"/>
              <w:spacing w:before="0" w:beforeAutospacing="0" w:after="0" w:afterAutospacing="0"/>
              <w:ind w:firstLine="448"/>
              <w:jc w:val="center"/>
              <w:rPr>
                <w:rFonts w:eastAsiaTheme="minorHAnsi"/>
                <w:lang w:val="uk-UA" w:eastAsia="en-US"/>
              </w:rPr>
            </w:pPr>
            <w:r w:rsidRPr="007C44E0">
              <w:rPr>
                <w:rFonts w:eastAsiaTheme="minorHAnsi"/>
                <w:lang w:val="uk-UA" w:eastAsia="en-US"/>
              </w:rPr>
              <w:t>(…)</w:t>
            </w:r>
          </w:p>
          <w:p w:rsidR="00183228" w:rsidRDefault="00183228" w:rsidP="00183228">
            <w:pPr>
              <w:ind w:firstLine="459"/>
              <w:jc w:val="both"/>
              <w:rPr>
                <w:rFonts w:ascii="Times New Roman" w:eastAsia="Calibri" w:hAnsi="Times New Roman" w:cs="Times New Roman"/>
              </w:rPr>
            </w:pPr>
            <w:r w:rsidRPr="007C44E0">
              <w:rPr>
                <w:rFonts w:ascii="Times New Roman" w:eastAsiaTheme="minorHAnsi" w:hAnsi="Times New Roman" w:cs="Times New Roman"/>
                <w:lang w:eastAsia="en-US"/>
              </w:rPr>
              <w:t xml:space="preserve">особи, участь яких в азартній грі заборонена Законом та іншими законами -  особи, які не досягли 21-річного віку, та особи, відомості щодо яких внесено до Реєстру осіб, яким обмежено доступ до гральних закладів та/або участь в азартних іграх, </w:t>
            </w:r>
            <w:r w:rsidRPr="00FD2D99">
              <w:rPr>
                <w:rFonts w:ascii="Times New Roman" w:eastAsia="Calibri" w:hAnsi="Times New Roman" w:cs="Times New Roman"/>
                <w:b/>
              </w:rPr>
              <w:t>недієздатні та обмежено дієздатні особи</w:t>
            </w:r>
            <w:r w:rsidRPr="00FD2D99">
              <w:rPr>
                <w:rFonts w:ascii="Times New Roman" w:eastAsia="Calibri" w:hAnsi="Times New Roman" w:cs="Times New Roman"/>
              </w:rPr>
              <w:t xml:space="preserve"> (далі – особи);</w:t>
            </w:r>
          </w:p>
          <w:p w:rsidR="00183228" w:rsidRDefault="00183228" w:rsidP="00183228">
            <w:pPr>
              <w:ind w:firstLine="459"/>
              <w:jc w:val="both"/>
              <w:rPr>
                <w:rFonts w:ascii="Times New Roman" w:eastAsia="Calibri" w:hAnsi="Times New Roman" w:cs="Times New Roman"/>
              </w:rPr>
            </w:pPr>
          </w:p>
          <w:p w:rsidR="00183228" w:rsidRPr="00CF1FAC" w:rsidRDefault="00183228" w:rsidP="00183228">
            <w:pPr>
              <w:ind w:firstLine="459"/>
              <w:jc w:val="both"/>
              <w:rPr>
                <w:rStyle w:val="markedcontent"/>
                <w:rFonts w:ascii="Times New Roman" w:hAnsi="Times New Roman" w:cs="Times New Roman"/>
                <w:shd w:val="clear" w:color="auto" w:fill="FFFFFF"/>
              </w:rPr>
            </w:pPr>
            <w:r w:rsidRPr="00CF1FAC">
              <w:rPr>
                <w:rFonts w:ascii="Times New Roman" w:hAnsi="Times New Roman" w:cs="Times New Roman"/>
              </w:rPr>
              <w:t xml:space="preserve">Відповідно </w:t>
            </w:r>
            <w:r w:rsidRPr="00CF1FAC">
              <w:rPr>
                <w:rStyle w:val="markedcontent"/>
                <w:rFonts w:ascii="Times New Roman" w:hAnsi="Times New Roman" w:cs="Times New Roman"/>
                <w:shd w:val="clear" w:color="auto" w:fill="FFFFFF"/>
              </w:rPr>
              <w:t xml:space="preserve">до абзацу п’ятого частини другої статті 16 Закону України «Про державне регулювання діяльності щодо організації та проведення азартних ігор» (далі – Закон) організатор азартних ігор, який не забезпечив неможливість участі в азартних іграх </w:t>
            </w:r>
            <w:r w:rsidRPr="00CF1FAC">
              <w:rPr>
                <w:rStyle w:val="markedcontent"/>
                <w:rFonts w:ascii="Times New Roman" w:hAnsi="Times New Roman" w:cs="Times New Roman"/>
                <w:u w:val="single"/>
                <w:shd w:val="clear" w:color="auto" w:fill="FFFFFF"/>
              </w:rPr>
              <w:t xml:space="preserve">осіб, участь яких в </w:t>
            </w:r>
            <w:r w:rsidRPr="00CF1FAC">
              <w:rPr>
                <w:rStyle w:val="markedcontent"/>
                <w:rFonts w:ascii="Times New Roman" w:hAnsi="Times New Roman" w:cs="Times New Roman"/>
                <w:u w:val="single"/>
                <w:shd w:val="clear" w:color="auto" w:fill="FFFFFF"/>
              </w:rPr>
              <w:lastRenderedPageBreak/>
              <w:t>таких іграх заборонена цим та іншими законами,</w:t>
            </w:r>
            <w:r w:rsidRPr="00CF1FAC">
              <w:rPr>
                <w:rStyle w:val="markedcontent"/>
                <w:rFonts w:ascii="Times New Roman" w:hAnsi="Times New Roman" w:cs="Times New Roman"/>
                <w:shd w:val="clear" w:color="auto" w:fill="FFFFFF"/>
              </w:rPr>
              <w:t xml:space="preserve"> зобов’язаний відшкодувати таким особам на їх вимогу або на вимогу членів сім’ї таких осіб фінансову шкоду в розмірі десятикратного розміру програшу, що заподіяна зазначеним особам внаслідок такої бездіяльності організатора азартних ігор. </w:t>
            </w:r>
          </w:p>
          <w:p w:rsidR="00183228" w:rsidRPr="00CF1FAC" w:rsidRDefault="00183228" w:rsidP="00183228">
            <w:pPr>
              <w:shd w:val="clear" w:color="auto" w:fill="FFFFFF"/>
              <w:ind w:firstLine="448"/>
              <w:jc w:val="both"/>
              <w:rPr>
                <w:rStyle w:val="markedcontent"/>
                <w:rFonts w:ascii="Times New Roman" w:hAnsi="Times New Roman" w:cs="Times New Roman"/>
              </w:rPr>
            </w:pPr>
            <w:r w:rsidRPr="00CF1FAC">
              <w:rPr>
                <w:rStyle w:val="markedcontent"/>
                <w:rFonts w:ascii="Times New Roman" w:hAnsi="Times New Roman" w:cs="Times New Roman"/>
              </w:rPr>
              <w:t>Частиною другою статті 18 Закону визначені категорії осіб, які не можуть бути гравцями, в тому числі, особи, які не досягли 21-річного віку та особи, внесені до Реєстру осіб, яким обмежено доступ до гральних закладів та/або участь в азартних іграх.</w:t>
            </w:r>
          </w:p>
          <w:p w:rsidR="00183228" w:rsidRPr="00CF1FAC" w:rsidRDefault="00183228" w:rsidP="00183228">
            <w:pPr>
              <w:pStyle w:val="rvps2"/>
              <w:shd w:val="clear" w:color="auto" w:fill="FFFFFF"/>
              <w:spacing w:before="0" w:beforeAutospacing="0" w:after="0" w:afterAutospacing="0"/>
              <w:ind w:firstLine="448"/>
              <w:jc w:val="both"/>
              <w:rPr>
                <w:rStyle w:val="markedcontent"/>
                <w:rFonts w:eastAsiaTheme="minorHAnsi"/>
                <w:lang w:val="uk-UA" w:eastAsia="en-US"/>
              </w:rPr>
            </w:pPr>
            <w:r w:rsidRPr="00CF1FAC">
              <w:rPr>
                <w:rStyle w:val="markedcontent"/>
                <w:rFonts w:eastAsiaTheme="minorHAnsi"/>
                <w:lang w:val="uk-UA" w:eastAsia="en-US"/>
              </w:rPr>
              <w:t xml:space="preserve">Стосовно осіб </w:t>
            </w:r>
            <w:r w:rsidRPr="00CF1FAC">
              <w:rPr>
                <w:rStyle w:val="markedcontent"/>
                <w:rFonts w:eastAsiaTheme="minorHAnsi"/>
                <w:lang w:val="uk-UA"/>
              </w:rPr>
              <w:t>з вираженою ігровою залежністю (</w:t>
            </w:r>
            <w:proofErr w:type="spellStart"/>
            <w:r w:rsidRPr="00CF1FAC">
              <w:rPr>
                <w:rStyle w:val="markedcontent"/>
                <w:rFonts w:eastAsiaTheme="minorHAnsi"/>
                <w:lang w:val="uk-UA"/>
              </w:rPr>
              <w:t>лудоманією</w:t>
            </w:r>
            <w:proofErr w:type="spellEnd"/>
            <w:r w:rsidRPr="00CF1FAC">
              <w:rPr>
                <w:rStyle w:val="markedcontent"/>
                <w:rFonts w:eastAsiaTheme="minorHAnsi"/>
                <w:lang w:val="uk-UA"/>
              </w:rPr>
              <w:t xml:space="preserve">) </w:t>
            </w:r>
            <w:r w:rsidRPr="00CF1FAC">
              <w:rPr>
                <w:rStyle w:val="markedcontent"/>
                <w:rFonts w:eastAsiaTheme="minorHAnsi"/>
                <w:lang w:val="uk-UA" w:eastAsia="en-US"/>
              </w:rPr>
              <w:t xml:space="preserve">Закон визначає відповідні обов’язки  для організаторів азартних ігор, зокрема, щодо </w:t>
            </w:r>
            <w:proofErr w:type="spellStart"/>
            <w:r w:rsidRPr="00CF1FAC">
              <w:rPr>
                <w:rStyle w:val="markedcontent"/>
                <w:rFonts w:eastAsiaTheme="minorHAnsi"/>
                <w:lang w:val="uk-UA" w:eastAsia="en-US"/>
              </w:rPr>
              <w:t>недопуску</w:t>
            </w:r>
            <w:proofErr w:type="spellEnd"/>
            <w:r w:rsidRPr="00CF1FAC">
              <w:rPr>
                <w:rStyle w:val="markedcontent"/>
                <w:rFonts w:eastAsiaTheme="minorHAnsi"/>
                <w:lang w:val="uk-UA" w:eastAsia="en-US"/>
              </w:rPr>
              <w:t xml:space="preserve"> таких осіб до участі в азартних іграх у випадках та порядку, встановлених Уповноваженим органом (пункт 2 частини другої статті 16 Закону).</w:t>
            </w:r>
          </w:p>
          <w:p w:rsidR="00183228" w:rsidRPr="00CF1FAC" w:rsidRDefault="00183228" w:rsidP="00183228">
            <w:pPr>
              <w:pStyle w:val="rvps2"/>
              <w:shd w:val="clear" w:color="auto" w:fill="FFFFFF"/>
              <w:spacing w:before="0" w:beforeAutospacing="0" w:after="0" w:afterAutospacing="0"/>
              <w:ind w:firstLine="448"/>
              <w:jc w:val="both"/>
              <w:rPr>
                <w:rStyle w:val="markedcontent"/>
                <w:rFonts w:eastAsiaTheme="minorHAnsi"/>
                <w:lang w:val="uk-UA" w:eastAsia="en-US"/>
              </w:rPr>
            </w:pPr>
            <w:r w:rsidRPr="00CF1FAC">
              <w:rPr>
                <w:rStyle w:val="markedcontent"/>
                <w:rFonts w:eastAsiaTheme="minorHAnsi"/>
                <w:lang w:val="uk-UA" w:eastAsia="en-US"/>
              </w:rPr>
              <w:t xml:space="preserve">При цьому, </w:t>
            </w:r>
            <w:r w:rsidRPr="00CF1FAC">
              <w:rPr>
                <w:rStyle w:val="markedcontent"/>
                <w:rFonts w:eastAsiaTheme="minorHAnsi"/>
                <w:u w:val="single"/>
                <w:lang w:val="uk-UA" w:eastAsia="en-US"/>
              </w:rPr>
              <w:t xml:space="preserve">Законом прямо не </w:t>
            </w:r>
            <w:r w:rsidRPr="00CF1FAC">
              <w:rPr>
                <w:rStyle w:val="markedcontent"/>
                <w:rFonts w:eastAsiaTheme="minorHAnsi"/>
                <w:u w:val="single"/>
                <w:lang w:val="uk-UA"/>
              </w:rPr>
              <w:t>віднесено</w:t>
            </w:r>
            <w:r w:rsidRPr="00CF1FAC">
              <w:rPr>
                <w:rStyle w:val="markedcontent"/>
                <w:rFonts w:eastAsiaTheme="minorHAnsi"/>
                <w:u w:val="single"/>
                <w:lang w:val="uk-UA" w:eastAsia="en-US"/>
              </w:rPr>
              <w:t xml:space="preserve"> таких осіб до </w:t>
            </w:r>
            <w:r w:rsidRPr="00CF1FAC">
              <w:rPr>
                <w:rStyle w:val="markedcontent"/>
                <w:rFonts w:eastAsiaTheme="minorHAnsi"/>
                <w:u w:val="single"/>
                <w:lang w:val="uk-UA"/>
              </w:rPr>
              <w:t xml:space="preserve">категорії осіб, які не можуть бути гравцями та </w:t>
            </w:r>
            <w:r w:rsidRPr="00CF1FAC">
              <w:rPr>
                <w:rStyle w:val="markedcontent"/>
                <w:rFonts w:eastAsiaTheme="minorHAnsi"/>
                <w:u w:val="single"/>
                <w:lang w:val="uk-UA" w:eastAsia="en-US"/>
              </w:rPr>
              <w:t>участь яких в азартних іграх заборонена</w:t>
            </w:r>
            <w:r w:rsidRPr="00CF1FAC">
              <w:rPr>
                <w:rStyle w:val="markedcontent"/>
                <w:rFonts w:eastAsiaTheme="minorHAnsi"/>
                <w:lang w:val="uk-UA" w:eastAsia="en-US"/>
              </w:rPr>
              <w:t xml:space="preserve"> (частини друга та четверта статті 18 Закону).</w:t>
            </w:r>
          </w:p>
          <w:p w:rsidR="00183228" w:rsidRPr="00CF1FAC" w:rsidRDefault="00183228" w:rsidP="00183228">
            <w:pPr>
              <w:pStyle w:val="1"/>
              <w:shd w:val="clear" w:color="auto" w:fill="FFFFFF"/>
              <w:spacing w:before="0" w:beforeAutospacing="0" w:after="0" w:afterAutospacing="0"/>
              <w:ind w:firstLine="459"/>
              <w:jc w:val="both"/>
              <w:rPr>
                <w:rStyle w:val="markedcontent"/>
                <w:rFonts w:eastAsiaTheme="minorHAnsi"/>
                <w:b w:val="0"/>
                <w:kern w:val="0"/>
                <w:sz w:val="24"/>
                <w:szCs w:val="24"/>
                <w:lang w:val="uk-UA" w:eastAsia="en-US"/>
              </w:rPr>
            </w:pPr>
            <w:r w:rsidRPr="00CF1FAC">
              <w:rPr>
                <w:rStyle w:val="markedcontent"/>
                <w:rFonts w:eastAsiaTheme="minorHAnsi"/>
                <w:b w:val="0"/>
                <w:kern w:val="0"/>
                <w:sz w:val="24"/>
                <w:szCs w:val="24"/>
                <w:lang w:val="uk-UA" w:eastAsia="en-US"/>
              </w:rPr>
              <w:t>Законом не встановлено вимог стосовно обліку осіб, у яких виражена ігрова залежність (</w:t>
            </w:r>
            <w:proofErr w:type="spellStart"/>
            <w:r w:rsidRPr="00CF1FAC">
              <w:rPr>
                <w:rStyle w:val="markedcontent"/>
                <w:rFonts w:eastAsiaTheme="minorHAnsi"/>
                <w:b w:val="0"/>
                <w:kern w:val="0"/>
                <w:sz w:val="24"/>
                <w:szCs w:val="24"/>
                <w:lang w:val="uk-UA" w:eastAsia="en-US"/>
              </w:rPr>
              <w:t>лудоманія</w:t>
            </w:r>
            <w:proofErr w:type="spellEnd"/>
            <w:r w:rsidRPr="00CF1FAC">
              <w:rPr>
                <w:rStyle w:val="markedcontent"/>
                <w:rFonts w:eastAsiaTheme="minorHAnsi"/>
                <w:b w:val="0"/>
                <w:kern w:val="0"/>
                <w:sz w:val="24"/>
                <w:szCs w:val="24"/>
                <w:lang w:val="uk-UA" w:eastAsia="en-US"/>
              </w:rPr>
              <w:t>) та/або ведення відповідного реєстру (на відміну від Реєстру осіб, яким обмежено доступ до гральних закладів та/або участь в азартних іграх), а також не передбачено надання таким особам відповідного документу, що підтверджує наявність у них ігрової залежності (</w:t>
            </w:r>
            <w:proofErr w:type="spellStart"/>
            <w:r w:rsidRPr="00CF1FAC">
              <w:rPr>
                <w:rStyle w:val="markedcontent"/>
                <w:rFonts w:eastAsiaTheme="minorHAnsi"/>
                <w:b w:val="0"/>
                <w:kern w:val="0"/>
                <w:sz w:val="24"/>
                <w:szCs w:val="24"/>
                <w:lang w:val="uk-UA" w:eastAsia="en-US"/>
              </w:rPr>
              <w:t>лудоманії</w:t>
            </w:r>
            <w:proofErr w:type="spellEnd"/>
            <w:r w:rsidRPr="00CF1FAC">
              <w:rPr>
                <w:rStyle w:val="markedcontent"/>
                <w:rFonts w:eastAsiaTheme="minorHAnsi"/>
                <w:b w:val="0"/>
                <w:kern w:val="0"/>
                <w:sz w:val="24"/>
                <w:szCs w:val="24"/>
                <w:lang w:val="uk-UA" w:eastAsia="en-US"/>
              </w:rPr>
              <w:t>).</w:t>
            </w:r>
          </w:p>
          <w:p w:rsidR="00183228" w:rsidRPr="00CF1FAC" w:rsidRDefault="00183228" w:rsidP="00183228">
            <w:pPr>
              <w:pStyle w:val="1"/>
              <w:shd w:val="clear" w:color="auto" w:fill="FFFFFF"/>
              <w:spacing w:before="0" w:beforeAutospacing="0" w:after="0" w:afterAutospacing="0"/>
              <w:ind w:firstLine="459"/>
              <w:jc w:val="both"/>
              <w:rPr>
                <w:rStyle w:val="markedcontent"/>
                <w:rFonts w:eastAsiaTheme="minorHAnsi"/>
                <w:b w:val="0"/>
                <w:kern w:val="0"/>
                <w:sz w:val="24"/>
                <w:szCs w:val="24"/>
                <w:u w:val="single"/>
                <w:lang w:val="uk-UA" w:eastAsia="en-US"/>
              </w:rPr>
            </w:pPr>
            <w:r w:rsidRPr="00CF1FAC">
              <w:rPr>
                <w:rStyle w:val="markedcontent"/>
                <w:rFonts w:eastAsiaTheme="minorHAnsi"/>
                <w:b w:val="0"/>
                <w:kern w:val="0"/>
                <w:sz w:val="24"/>
                <w:szCs w:val="24"/>
                <w:lang w:val="uk-UA" w:eastAsia="en-US"/>
              </w:rPr>
              <w:t xml:space="preserve">А отже, </w:t>
            </w:r>
            <w:r w:rsidRPr="00CF1FAC">
              <w:rPr>
                <w:rStyle w:val="markedcontent"/>
                <w:rFonts w:eastAsiaTheme="minorHAnsi"/>
                <w:b w:val="0"/>
                <w:kern w:val="0"/>
                <w:sz w:val="24"/>
                <w:szCs w:val="24"/>
                <w:u w:val="single"/>
                <w:lang w:val="uk-UA" w:eastAsia="en-US"/>
              </w:rPr>
              <w:t>організатор азартних ігор не має можливості встановити під час ідентифікації гравця та/або відвідувача наявність у особи ігрової залежності (</w:t>
            </w:r>
            <w:proofErr w:type="spellStart"/>
            <w:r w:rsidRPr="00CF1FAC">
              <w:rPr>
                <w:rStyle w:val="markedcontent"/>
                <w:rFonts w:eastAsiaTheme="minorHAnsi"/>
                <w:b w:val="0"/>
                <w:kern w:val="0"/>
                <w:sz w:val="24"/>
                <w:szCs w:val="24"/>
                <w:u w:val="single"/>
                <w:lang w:val="uk-UA" w:eastAsia="en-US"/>
              </w:rPr>
              <w:t>лудоманії</w:t>
            </w:r>
            <w:proofErr w:type="spellEnd"/>
            <w:r w:rsidRPr="00CF1FAC">
              <w:rPr>
                <w:rStyle w:val="markedcontent"/>
                <w:rFonts w:eastAsiaTheme="minorHAnsi"/>
                <w:b w:val="0"/>
                <w:kern w:val="0"/>
                <w:sz w:val="24"/>
                <w:szCs w:val="24"/>
                <w:u w:val="single"/>
                <w:lang w:val="uk-UA" w:eastAsia="en-US"/>
              </w:rPr>
              <w:t>), підтвердженої уповноваженою особою/органом/установою.</w:t>
            </w:r>
          </w:p>
          <w:p w:rsidR="00183228" w:rsidRPr="00CF1FAC" w:rsidRDefault="00183228" w:rsidP="00183228">
            <w:pPr>
              <w:ind w:firstLine="318"/>
              <w:jc w:val="both"/>
              <w:rPr>
                <w:rStyle w:val="markedcontent"/>
                <w:rFonts w:ascii="Times New Roman" w:hAnsi="Times New Roman" w:cs="Times New Roman"/>
                <w:bCs/>
                <w:u w:val="single"/>
              </w:rPr>
            </w:pPr>
            <w:r w:rsidRPr="00CF1FAC">
              <w:rPr>
                <w:rStyle w:val="markedcontent"/>
                <w:rFonts w:ascii="Times New Roman" w:hAnsi="Times New Roman" w:cs="Times New Roman"/>
                <w:bCs/>
              </w:rPr>
              <w:t xml:space="preserve">Водночас Всесвітньою організацією охорони здоров’я таке поняття як </w:t>
            </w:r>
            <w:r w:rsidRPr="00CF1FAC">
              <w:rPr>
                <w:rStyle w:val="markedcontent"/>
                <w:rFonts w:ascii="Times New Roman" w:hAnsi="Times New Roman" w:cs="Times New Roman"/>
                <w:bCs/>
                <w:u w:val="single"/>
              </w:rPr>
              <w:t>«ігровий розлад» включено до Міжнародної класифікації хвороб 11-го перегляду (МКХ-</w:t>
            </w:r>
            <w:r w:rsidRPr="00CF1FAC">
              <w:rPr>
                <w:rStyle w:val="markedcontent"/>
                <w:rFonts w:ascii="Times New Roman" w:hAnsi="Times New Roman" w:cs="Times New Roman"/>
                <w:bCs/>
                <w:u w:val="single"/>
              </w:rPr>
              <w:lastRenderedPageBreak/>
              <w:t>11), та віднесено до розділу  «Розлади психіки, поведінки або розвитку нервової системи».</w:t>
            </w:r>
          </w:p>
          <w:p w:rsidR="00183228" w:rsidRPr="00CF1FAC" w:rsidRDefault="00183228" w:rsidP="00183228">
            <w:pPr>
              <w:pStyle w:val="1"/>
              <w:shd w:val="clear" w:color="auto" w:fill="FFFFFF"/>
              <w:spacing w:before="0" w:beforeAutospacing="0" w:after="0" w:afterAutospacing="0"/>
              <w:ind w:firstLine="459"/>
              <w:jc w:val="both"/>
              <w:rPr>
                <w:rStyle w:val="markedcontent"/>
                <w:rFonts w:eastAsiaTheme="minorHAnsi"/>
                <w:b w:val="0"/>
                <w:kern w:val="0"/>
                <w:sz w:val="24"/>
                <w:szCs w:val="24"/>
                <w:lang w:val="uk-UA" w:eastAsia="en-US"/>
              </w:rPr>
            </w:pPr>
            <w:r w:rsidRPr="00CF1FAC">
              <w:rPr>
                <w:rStyle w:val="markedcontent"/>
                <w:rFonts w:eastAsiaTheme="minorHAnsi"/>
                <w:b w:val="0"/>
                <w:kern w:val="0"/>
                <w:sz w:val="24"/>
                <w:szCs w:val="24"/>
                <w:lang w:val="uk-UA" w:eastAsia="en-US"/>
              </w:rPr>
              <w:t xml:space="preserve">Відповідно до статті 27 Закону України «Про психіатричну допомогу» виключно компетенцією лікаря-психіатра або комісії лікарів-психіатрів є встановлення діагнозу психічного розладу. Разом з тим, частиною першою статті 7 цього Закону визначено, що діагноз психічного розладу встановлюється відповідно до загальновизнаних міжнародних стандартів діагностики та Міжнародної статистичної класифікації хвороб. </w:t>
            </w:r>
          </w:p>
          <w:p w:rsidR="00183228" w:rsidRPr="00CF1FAC" w:rsidRDefault="00183228" w:rsidP="00183228">
            <w:pPr>
              <w:pStyle w:val="1"/>
              <w:shd w:val="clear" w:color="auto" w:fill="FFFFFF"/>
              <w:spacing w:before="0" w:beforeAutospacing="0" w:after="0" w:afterAutospacing="0"/>
              <w:ind w:firstLine="459"/>
              <w:jc w:val="both"/>
              <w:rPr>
                <w:rStyle w:val="markedcontent"/>
                <w:rFonts w:eastAsiaTheme="minorHAnsi"/>
                <w:b w:val="0"/>
                <w:kern w:val="0"/>
                <w:sz w:val="24"/>
                <w:szCs w:val="24"/>
                <w:u w:val="single"/>
                <w:lang w:val="uk-UA" w:eastAsia="en-US"/>
              </w:rPr>
            </w:pPr>
            <w:r w:rsidRPr="00CF1FAC">
              <w:rPr>
                <w:rStyle w:val="markedcontent"/>
                <w:rFonts w:eastAsiaTheme="minorHAnsi"/>
                <w:b w:val="0"/>
                <w:kern w:val="0"/>
                <w:sz w:val="24"/>
                <w:szCs w:val="24"/>
                <w:lang w:val="uk-UA" w:eastAsia="en-US"/>
              </w:rPr>
              <w:t xml:space="preserve">Відповідно до частини третьої статті 7  Закону України «Про психіатричну допомогу» </w:t>
            </w:r>
            <w:r w:rsidRPr="00CF1FAC">
              <w:rPr>
                <w:rStyle w:val="markedcontent"/>
                <w:rFonts w:eastAsiaTheme="minorHAnsi"/>
                <w:b w:val="0"/>
                <w:kern w:val="0"/>
                <w:sz w:val="24"/>
                <w:szCs w:val="24"/>
                <w:u w:val="single"/>
                <w:lang w:val="uk-UA" w:eastAsia="en-US"/>
              </w:rPr>
              <w:t>забороняється визначати стан психічного здоров’я особи та встановлювати діагноз психічних розладів без психіатричного огляду особи.</w:t>
            </w:r>
          </w:p>
          <w:p w:rsidR="00183228" w:rsidRPr="00CF1FAC" w:rsidRDefault="00183228" w:rsidP="00183228">
            <w:pPr>
              <w:pStyle w:val="1"/>
              <w:shd w:val="clear" w:color="auto" w:fill="FFFFFF"/>
              <w:spacing w:before="0" w:beforeAutospacing="0" w:after="0" w:afterAutospacing="0"/>
              <w:ind w:firstLine="459"/>
              <w:jc w:val="both"/>
              <w:rPr>
                <w:rStyle w:val="markedcontent"/>
                <w:rFonts w:eastAsiaTheme="minorHAnsi"/>
                <w:b w:val="0"/>
                <w:kern w:val="0"/>
                <w:sz w:val="24"/>
                <w:szCs w:val="24"/>
                <w:lang w:val="uk-UA" w:eastAsia="en-US"/>
              </w:rPr>
            </w:pPr>
            <w:r w:rsidRPr="00CF1FAC">
              <w:rPr>
                <w:rStyle w:val="markedcontent"/>
                <w:rFonts w:eastAsiaTheme="minorHAnsi"/>
                <w:b w:val="0"/>
                <w:kern w:val="0"/>
                <w:sz w:val="24"/>
                <w:szCs w:val="24"/>
                <w:lang w:val="uk-UA" w:eastAsia="en-US"/>
              </w:rPr>
              <w:t>Згідно з статтями 10-11 Закону України «Про психіатричну допомогу» психіатричний огляд проводиться лікарем-психіатром за наявності ліцензії, отриманої відповідно до законодавства.</w:t>
            </w:r>
          </w:p>
          <w:p w:rsidR="00183228" w:rsidRPr="00CF1FAC" w:rsidRDefault="00183228" w:rsidP="00183228">
            <w:pPr>
              <w:ind w:firstLine="459"/>
              <w:jc w:val="both"/>
              <w:rPr>
                <w:rStyle w:val="markedcontent"/>
                <w:rFonts w:ascii="Times New Roman" w:hAnsi="Times New Roman" w:cs="Times New Roman"/>
              </w:rPr>
            </w:pPr>
            <w:r w:rsidRPr="00CF1FAC">
              <w:rPr>
                <w:rStyle w:val="markedcontent"/>
                <w:rFonts w:ascii="Times New Roman" w:hAnsi="Times New Roman" w:cs="Times New Roman"/>
              </w:rPr>
              <w:t xml:space="preserve">Абзацом другим статті 6  Закону України «Про психіатричну допомогу» визначено, що медичні працівники, інші фахівці, які беруть участь у наданні психіатричної допомоги, та особи, яким у зв’язку з навчанням або виконанням професійних, службових, громадських чи інших обов’язків стало відомо про наявність у особи психічного розладу, про факти звернення за психіатричною допомогою та лікування у закладі з надання психіатричної допомоги чи про перебування у закладі соціального захисту осіб, які страждають на психічні розлади, або спеціальному навчальному закладі, а також інші </w:t>
            </w:r>
            <w:r w:rsidRPr="00CF1FAC">
              <w:rPr>
                <w:rStyle w:val="markedcontent"/>
                <w:rFonts w:ascii="Times New Roman" w:hAnsi="Times New Roman" w:cs="Times New Roman"/>
                <w:u w:val="single"/>
              </w:rPr>
              <w:t>відомості про стан психічного здоров’я особи, її приватне життя, не можуть розголошувати ці відомості,</w:t>
            </w:r>
            <w:r w:rsidRPr="00CF1FAC">
              <w:rPr>
                <w:rStyle w:val="markedcontent"/>
                <w:rFonts w:ascii="Times New Roman" w:hAnsi="Times New Roman" w:cs="Times New Roman"/>
              </w:rPr>
              <w:t xml:space="preserve"> крім випадків, передбачених частинами третьою, четвертою та п’ятою цієї статті.</w:t>
            </w:r>
          </w:p>
          <w:p w:rsidR="00183228" w:rsidRPr="00CF1FAC" w:rsidRDefault="00183228" w:rsidP="00183228">
            <w:pPr>
              <w:ind w:firstLine="459"/>
              <w:jc w:val="both"/>
              <w:rPr>
                <w:rStyle w:val="markedcontent"/>
                <w:rFonts w:ascii="Times New Roman" w:hAnsi="Times New Roman" w:cs="Times New Roman"/>
              </w:rPr>
            </w:pPr>
            <w:r w:rsidRPr="00CF1FAC">
              <w:rPr>
                <w:rStyle w:val="markedcontent"/>
                <w:rFonts w:ascii="Times New Roman" w:hAnsi="Times New Roman" w:cs="Times New Roman"/>
              </w:rPr>
              <w:t>Відповідно до абзацу сьомого статті 6 «Про психіатричну допомогу»</w:t>
            </w:r>
            <w:r w:rsidRPr="00CF1FAC">
              <w:rPr>
                <w:rStyle w:val="markedcontent"/>
                <w:b/>
              </w:rPr>
              <w:t xml:space="preserve"> </w:t>
            </w:r>
            <w:r w:rsidRPr="00CF1FAC">
              <w:rPr>
                <w:rStyle w:val="markedcontent"/>
                <w:rFonts w:ascii="Times New Roman" w:hAnsi="Times New Roman" w:cs="Times New Roman"/>
              </w:rPr>
              <w:t xml:space="preserve">  </w:t>
            </w:r>
            <w:r w:rsidRPr="00CF1FAC">
              <w:rPr>
                <w:rStyle w:val="markedcontent"/>
                <w:rFonts w:ascii="Times New Roman" w:hAnsi="Times New Roman" w:cs="Times New Roman"/>
                <w:u w:val="single"/>
              </w:rPr>
              <w:t xml:space="preserve">забороняється вимагати </w:t>
            </w:r>
            <w:r w:rsidRPr="00CF1FAC">
              <w:rPr>
                <w:rStyle w:val="markedcontent"/>
                <w:rFonts w:ascii="Times New Roman" w:hAnsi="Times New Roman" w:cs="Times New Roman"/>
                <w:u w:val="single"/>
              </w:rPr>
              <w:lastRenderedPageBreak/>
              <w:t>відомості про стан психічного здоров’я особи та про надання їй психіатричної допомоги</w:t>
            </w:r>
            <w:r w:rsidRPr="00CF1FAC">
              <w:rPr>
                <w:rStyle w:val="markedcontent"/>
                <w:rFonts w:ascii="Times New Roman" w:hAnsi="Times New Roman" w:cs="Times New Roman"/>
              </w:rPr>
              <w:t>, за винятком випадків, передбачених цим Законом та іншими законами.</w:t>
            </w:r>
          </w:p>
          <w:p w:rsidR="00183228" w:rsidRPr="00CF1FAC" w:rsidRDefault="00183228" w:rsidP="00183228">
            <w:pPr>
              <w:pStyle w:val="rvps2"/>
              <w:shd w:val="clear" w:color="auto" w:fill="FFFFFF"/>
              <w:spacing w:before="0" w:beforeAutospacing="0" w:after="0" w:afterAutospacing="0"/>
              <w:ind w:firstLine="450"/>
              <w:jc w:val="both"/>
              <w:rPr>
                <w:rStyle w:val="markedcontent"/>
                <w:rFonts w:eastAsiaTheme="minorHAnsi"/>
                <w:u w:val="single"/>
                <w:shd w:val="clear" w:color="auto" w:fill="FFFFFF"/>
                <w:lang w:val="uk-UA"/>
              </w:rPr>
            </w:pPr>
            <w:r w:rsidRPr="00CF1FAC">
              <w:rPr>
                <w:rStyle w:val="markedcontent"/>
                <w:rFonts w:eastAsiaTheme="minorHAnsi"/>
                <w:lang w:val="uk-UA" w:eastAsia="en-US"/>
              </w:rPr>
              <w:t xml:space="preserve">Поряд з цим, </w:t>
            </w:r>
            <w:r w:rsidRPr="00CF1FAC">
              <w:rPr>
                <w:rStyle w:val="markedcontent"/>
                <w:rFonts w:eastAsiaTheme="minorHAnsi"/>
                <w:u w:val="single"/>
                <w:lang w:val="uk-UA" w:eastAsia="en-US"/>
              </w:rPr>
              <w:t xml:space="preserve">Законом </w:t>
            </w:r>
            <w:r w:rsidRPr="00CF1FAC">
              <w:rPr>
                <w:rStyle w:val="markedcontent"/>
                <w:rFonts w:eastAsiaTheme="minorHAnsi"/>
                <w:u w:val="single"/>
                <w:shd w:val="clear" w:color="auto" w:fill="FFFFFF"/>
                <w:lang w:val="uk-UA" w:eastAsia="en-US"/>
              </w:rPr>
              <w:t>та  Законом України «Про психіатричну допомогу» не встановлено вимог щодо надання організатору азартних ігор таких відомостей.</w:t>
            </w:r>
            <w:r w:rsidRPr="00CF1FAC">
              <w:rPr>
                <w:rStyle w:val="markedcontent"/>
                <w:rFonts w:eastAsiaTheme="minorHAnsi"/>
                <w:u w:val="single"/>
                <w:lang w:val="uk-UA" w:eastAsia="en-US"/>
              </w:rPr>
              <w:t xml:space="preserve"> </w:t>
            </w:r>
            <w:r w:rsidRPr="00CF1FAC">
              <w:rPr>
                <w:rStyle w:val="markedcontent"/>
                <w:rFonts w:eastAsiaTheme="minorHAnsi"/>
                <w:u w:val="single"/>
                <w:shd w:val="clear" w:color="auto" w:fill="FFFFFF"/>
                <w:lang w:val="uk-UA"/>
              </w:rPr>
              <w:t xml:space="preserve"> </w:t>
            </w:r>
          </w:p>
          <w:p w:rsidR="00183228" w:rsidRPr="00CF1FAC" w:rsidRDefault="00183228" w:rsidP="00183228">
            <w:pPr>
              <w:shd w:val="clear" w:color="auto" w:fill="FFFFFF"/>
              <w:ind w:firstLine="448"/>
              <w:jc w:val="both"/>
              <w:rPr>
                <w:rStyle w:val="markedcontent"/>
                <w:rFonts w:ascii="Times New Roman" w:hAnsi="Times New Roman" w:cs="Times New Roman"/>
                <w:u w:val="single"/>
                <w:shd w:val="clear" w:color="auto" w:fill="FFFFFF"/>
              </w:rPr>
            </w:pPr>
            <w:r>
              <w:rPr>
                <w:rStyle w:val="markedcontent"/>
                <w:rFonts w:ascii="Times New Roman" w:hAnsi="Times New Roman" w:cs="Times New Roman"/>
                <w:shd w:val="clear" w:color="auto" w:fill="FFFFFF"/>
              </w:rPr>
              <w:t>Водночас відповідно до п</w:t>
            </w:r>
            <w:r w:rsidRPr="00CF1FAC">
              <w:rPr>
                <w:rStyle w:val="markedcontent"/>
                <w:rFonts w:ascii="Times New Roman" w:hAnsi="Times New Roman" w:cs="Times New Roman"/>
                <w:shd w:val="clear" w:color="auto" w:fill="FFFFFF"/>
              </w:rPr>
              <w:t>ункт</w:t>
            </w:r>
            <w:r>
              <w:rPr>
                <w:rStyle w:val="markedcontent"/>
                <w:rFonts w:ascii="Times New Roman" w:hAnsi="Times New Roman" w:cs="Times New Roman"/>
                <w:shd w:val="clear" w:color="auto" w:fill="FFFFFF"/>
              </w:rPr>
              <w:t>у</w:t>
            </w:r>
            <w:r w:rsidRPr="00CF1FAC">
              <w:rPr>
                <w:rStyle w:val="markedcontent"/>
                <w:rFonts w:ascii="Times New Roman" w:hAnsi="Times New Roman" w:cs="Times New Roman"/>
                <w:shd w:val="clear" w:color="auto" w:fill="FFFFFF"/>
              </w:rPr>
              <w:t xml:space="preserve"> 1 частини другої </w:t>
            </w:r>
            <w:r>
              <w:rPr>
                <w:rStyle w:val="markedcontent"/>
                <w:rFonts w:ascii="Times New Roman" w:hAnsi="Times New Roman" w:cs="Times New Roman"/>
                <w:shd w:val="clear" w:color="auto" w:fill="FFFFFF"/>
              </w:rPr>
              <w:t xml:space="preserve">                </w:t>
            </w:r>
            <w:r w:rsidRPr="00CF1FAC">
              <w:rPr>
                <w:rStyle w:val="markedcontent"/>
                <w:rFonts w:ascii="Times New Roman" w:hAnsi="Times New Roman" w:cs="Times New Roman"/>
                <w:shd w:val="clear" w:color="auto" w:fill="FFFFFF"/>
              </w:rPr>
              <w:t xml:space="preserve">статті 18 Закону </w:t>
            </w:r>
            <w:r w:rsidRPr="00CF1FAC">
              <w:rPr>
                <w:rStyle w:val="markedcontent"/>
                <w:rFonts w:ascii="Times New Roman" w:hAnsi="Times New Roman" w:cs="Times New Roman"/>
                <w:u w:val="single"/>
                <w:shd w:val="clear" w:color="auto" w:fill="FFFFFF"/>
              </w:rPr>
              <w:t>гравцями, зокрема, не  можуть бути недієздатні та обмежено дієздатні особи.</w:t>
            </w:r>
          </w:p>
          <w:p w:rsidR="00183228" w:rsidRPr="00CF1FAC" w:rsidRDefault="00183228" w:rsidP="00183228">
            <w:pPr>
              <w:shd w:val="clear" w:color="auto" w:fill="FFFFFF"/>
              <w:ind w:firstLine="448"/>
              <w:jc w:val="both"/>
              <w:rPr>
                <w:rStyle w:val="markedcontent"/>
                <w:rFonts w:ascii="Times New Roman" w:hAnsi="Times New Roman" w:cs="Times New Roman"/>
                <w:u w:val="single"/>
                <w:shd w:val="clear" w:color="auto" w:fill="FFFFFF"/>
                <w:lang w:eastAsia="ru-RU"/>
              </w:rPr>
            </w:pPr>
            <w:r w:rsidRPr="00CF1FAC">
              <w:rPr>
                <w:rStyle w:val="markedcontent"/>
                <w:rFonts w:ascii="Times New Roman" w:hAnsi="Times New Roman" w:cs="Times New Roman"/>
                <w:shd w:val="clear" w:color="auto" w:fill="FFFFFF"/>
              </w:rPr>
              <w:t xml:space="preserve">Також пунктом 4 частини шостої статті 18 Закону визначено, що </w:t>
            </w:r>
            <w:r w:rsidRPr="00CF1FAC">
              <w:rPr>
                <w:rStyle w:val="markedcontent"/>
                <w:rFonts w:ascii="Times New Roman" w:hAnsi="Times New Roman" w:cs="Times New Roman"/>
                <w:u w:val="single"/>
                <w:shd w:val="clear" w:color="auto" w:fill="FFFFFF"/>
              </w:rPr>
              <w:t>д</w:t>
            </w:r>
            <w:r w:rsidRPr="00CF1FAC">
              <w:rPr>
                <w:rStyle w:val="markedcontent"/>
                <w:rFonts w:ascii="Times New Roman" w:hAnsi="Times New Roman" w:cs="Times New Roman"/>
                <w:u w:val="single"/>
                <w:shd w:val="clear" w:color="auto" w:fill="FFFFFF"/>
                <w:lang w:eastAsia="ru-RU"/>
              </w:rPr>
              <w:t xml:space="preserve">о участі в азартній грі не допускаються, </w:t>
            </w:r>
            <w:r w:rsidRPr="00CF1FAC">
              <w:rPr>
                <w:rStyle w:val="markedcontent"/>
                <w:rFonts w:ascii="Times New Roman" w:hAnsi="Times New Roman" w:cs="Times New Roman"/>
                <w:shd w:val="clear" w:color="auto" w:fill="FFFFFF"/>
                <w:lang w:eastAsia="ru-RU"/>
              </w:rPr>
              <w:t xml:space="preserve">зокрема, </w:t>
            </w:r>
            <w:r w:rsidRPr="00CF1FAC">
              <w:rPr>
                <w:rStyle w:val="markedcontent"/>
                <w:rFonts w:ascii="Times New Roman" w:hAnsi="Times New Roman" w:cs="Times New Roman"/>
                <w:b/>
                <w:shd w:val="clear" w:color="auto" w:fill="FFFFFF"/>
                <w:lang w:eastAsia="ru-RU"/>
              </w:rPr>
              <w:t>обмежено дієздатні та недієздатні особи</w:t>
            </w:r>
            <w:r w:rsidRPr="00CF1FAC">
              <w:rPr>
                <w:rStyle w:val="markedcontent"/>
                <w:rFonts w:ascii="Times New Roman" w:hAnsi="Times New Roman" w:cs="Times New Roman"/>
                <w:shd w:val="clear" w:color="auto" w:fill="FFFFFF"/>
                <w:lang w:eastAsia="ru-RU"/>
              </w:rPr>
              <w:t>.</w:t>
            </w:r>
          </w:p>
          <w:p w:rsidR="00183228" w:rsidRPr="00CF1FAC" w:rsidRDefault="00183228" w:rsidP="00183228">
            <w:pPr>
              <w:pStyle w:val="rvps2"/>
              <w:shd w:val="clear" w:color="auto" w:fill="FFFFFF"/>
              <w:spacing w:before="0" w:beforeAutospacing="0" w:after="0" w:afterAutospacing="0"/>
              <w:ind w:firstLine="450"/>
              <w:jc w:val="both"/>
              <w:rPr>
                <w:rStyle w:val="markedcontent"/>
                <w:rFonts w:eastAsiaTheme="minorHAnsi"/>
                <w:lang w:val="uk-UA" w:eastAsia="en-US"/>
              </w:rPr>
            </w:pPr>
            <w:r w:rsidRPr="00CF1FAC">
              <w:rPr>
                <w:rStyle w:val="markedcontent"/>
                <w:rFonts w:eastAsiaTheme="minorHAnsi"/>
                <w:lang w:val="uk-UA" w:eastAsia="en-US"/>
              </w:rPr>
              <w:t xml:space="preserve">Відповідно до вимог пункту 12 статті 15 Закону у своїй діяльності організатор зобов’язаний вживати заходів для </w:t>
            </w:r>
            <w:r w:rsidRPr="00CF1FAC">
              <w:rPr>
                <w:rStyle w:val="markedcontent"/>
                <w:rFonts w:eastAsiaTheme="minorHAnsi"/>
                <w:u w:val="single"/>
                <w:lang w:val="uk-UA" w:eastAsia="en-US"/>
              </w:rPr>
              <w:t>недопущення виплати (видачі) виграшу (призу) або його еквіваленту, повернення ставок</w:t>
            </w:r>
            <w:r w:rsidRPr="00CF1FAC">
              <w:rPr>
                <w:rStyle w:val="markedcontent"/>
                <w:rFonts w:eastAsiaTheme="minorHAnsi"/>
                <w:lang w:val="uk-UA" w:eastAsia="en-US"/>
              </w:rPr>
              <w:t xml:space="preserve"> будь-яким третім особам, у тому числі особам, на користь яких гравець пропонує здійснити виплату або повернення (</w:t>
            </w:r>
            <w:r w:rsidRPr="00CF1FAC">
              <w:rPr>
                <w:rStyle w:val="markedcontent"/>
                <w:rFonts w:eastAsiaTheme="minorHAnsi"/>
                <w:u w:val="single"/>
                <w:lang w:val="uk-UA" w:eastAsia="en-US"/>
              </w:rPr>
              <w:t>крім випадків звернення щодо повернення ставок, зроблених</w:t>
            </w:r>
            <w:r w:rsidRPr="00CF1FAC">
              <w:rPr>
                <w:rStyle w:val="markedcontent"/>
                <w:rFonts w:eastAsiaTheme="minorHAnsi"/>
                <w:lang w:val="uk-UA" w:eastAsia="en-US"/>
              </w:rPr>
              <w:t xml:space="preserve"> неповнолітньою, </w:t>
            </w:r>
            <w:r w:rsidRPr="00CF1FAC">
              <w:rPr>
                <w:rStyle w:val="markedcontent"/>
                <w:rFonts w:eastAsiaTheme="minorHAnsi"/>
                <w:u w:val="single"/>
                <w:lang w:val="uk-UA" w:eastAsia="en-US"/>
              </w:rPr>
              <w:t>недієздатною особою або особою, цивільна дієздатність якої обмежена</w:t>
            </w:r>
            <w:r w:rsidRPr="00CF1FAC">
              <w:rPr>
                <w:rStyle w:val="markedcontent"/>
                <w:rFonts w:eastAsiaTheme="minorHAnsi"/>
                <w:lang w:val="uk-UA" w:eastAsia="en-US"/>
              </w:rPr>
              <w:t>,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p>
          <w:p w:rsidR="00183228" w:rsidRPr="00CF1FAC" w:rsidRDefault="00183228" w:rsidP="00183228">
            <w:pPr>
              <w:pStyle w:val="rvps2"/>
              <w:shd w:val="clear" w:color="auto" w:fill="FFFFFF"/>
              <w:spacing w:before="0" w:beforeAutospacing="0" w:after="0" w:afterAutospacing="0"/>
              <w:ind w:firstLine="450"/>
              <w:jc w:val="both"/>
              <w:rPr>
                <w:rStyle w:val="markedcontent"/>
                <w:rFonts w:eastAsiaTheme="minorHAnsi"/>
                <w:lang w:val="uk-UA" w:eastAsia="en-US"/>
              </w:rPr>
            </w:pPr>
            <w:r w:rsidRPr="00CF1FAC">
              <w:rPr>
                <w:rStyle w:val="markedcontent"/>
                <w:rFonts w:eastAsiaTheme="minorHAnsi"/>
                <w:lang w:val="uk-UA" w:eastAsia="en-US"/>
              </w:rPr>
              <w:t xml:space="preserve">Частиною четвертою статті 34 Закону визначено, що обмеження щодо заборони виплати виграшу (призу), його еквівалента або повернення ставки будь-яким третім особам, у тому числі особам, на користь яких гравець пропонує здійснити виплату виграшу (призу), його еквівалента або повернення ставки не поширюється на випадки звернення щодо </w:t>
            </w:r>
            <w:r w:rsidRPr="00CF1FAC">
              <w:rPr>
                <w:rStyle w:val="markedcontent"/>
                <w:rFonts w:eastAsiaTheme="minorHAnsi"/>
                <w:u w:val="single"/>
                <w:lang w:val="uk-UA" w:eastAsia="en-US"/>
              </w:rPr>
              <w:t xml:space="preserve">повернення ставок, зроблених </w:t>
            </w:r>
            <w:r w:rsidRPr="00CF1FAC">
              <w:rPr>
                <w:rStyle w:val="markedcontent"/>
                <w:rFonts w:eastAsiaTheme="minorHAnsi"/>
                <w:lang w:val="uk-UA" w:eastAsia="en-US"/>
              </w:rPr>
              <w:t>особою, яка не досягла 21-річного віку,</w:t>
            </w:r>
            <w:r w:rsidRPr="00CF1FAC">
              <w:rPr>
                <w:rStyle w:val="markedcontent"/>
                <w:rFonts w:eastAsiaTheme="minorHAnsi"/>
                <w:u w:val="single"/>
                <w:lang w:val="uk-UA" w:eastAsia="en-US"/>
              </w:rPr>
              <w:t xml:space="preserve"> недієздатною особою або особою, цивільна дієздатність якої обмежена</w:t>
            </w:r>
            <w:r w:rsidRPr="00CF1FAC">
              <w:rPr>
                <w:rStyle w:val="markedcontent"/>
                <w:rFonts w:eastAsiaTheme="minorHAnsi"/>
                <w:lang w:val="uk-UA" w:eastAsia="en-US"/>
              </w:rPr>
              <w:t xml:space="preserve">, якщо особа, яка звертається за поверненням ставки, є її </w:t>
            </w:r>
            <w:r w:rsidRPr="00CF1FAC">
              <w:rPr>
                <w:rStyle w:val="markedcontent"/>
                <w:rFonts w:eastAsiaTheme="minorHAnsi"/>
                <w:lang w:val="uk-UA" w:eastAsia="en-US"/>
              </w:rPr>
              <w:lastRenderedPageBreak/>
              <w:t>законним представником.</w:t>
            </w:r>
          </w:p>
          <w:p w:rsidR="00183228" w:rsidRPr="00CF1FAC" w:rsidRDefault="00183228" w:rsidP="00183228">
            <w:pPr>
              <w:pStyle w:val="rvps2"/>
              <w:shd w:val="clear" w:color="auto" w:fill="FFFFFF"/>
              <w:spacing w:before="0" w:beforeAutospacing="0" w:after="0" w:afterAutospacing="0"/>
              <w:ind w:firstLine="450"/>
              <w:jc w:val="both"/>
              <w:rPr>
                <w:rStyle w:val="markedcontent"/>
                <w:rFonts w:eastAsiaTheme="minorHAnsi"/>
                <w:shd w:val="clear" w:color="auto" w:fill="FFFFFF"/>
                <w:lang w:val="uk-UA" w:eastAsia="en-US"/>
              </w:rPr>
            </w:pPr>
            <w:r w:rsidRPr="00CF1FAC">
              <w:rPr>
                <w:rStyle w:val="markedcontent"/>
                <w:rFonts w:eastAsiaTheme="minorHAnsi"/>
                <w:shd w:val="clear" w:color="auto" w:fill="FFFFFF"/>
                <w:lang w:val="uk-UA" w:eastAsia="en-US"/>
              </w:rPr>
              <w:t>Обсяг цивільної дієздатності фізичної особи встановлюється Цивільним кодексом України і може бути обмежений виключно у випадках і в порядку, встановлених законом.</w:t>
            </w:r>
          </w:p>
          <w:p w:rsidR="00183228" w:rsidRPr="00CF1FAC" w:rsidRDefault="00183228" w:rsidP="00183228">
            <w:pPr>
              <w:pStyle w:val="rvps2"/>
              <w:shd w:val="clear" w:color="auto" w:fill="FFFFFF"/>
              <w:spacing w:before="0" w:beforeAutospacing="0" w:after="0" w:afterAutospacing="0"/>
              <w:ind w:firstLine="450"/>
              <w:jc w:val="both"/>
              <w:rPr>
                <w:rStyle w:val="markedcontent"/>
                <w:rFonts w:eastAsiaTheme="minorHAnsi"/>
                <w:u w:val="single"/>
                <w:shd w:val="clear" w:color="auto" w:fill="FFFFFF"/>
                <w:lang w:val="uk-UA" w:eastAsia="en-US"/>
              </w:rPr>
            </w:pPr>
            <w:r w:rsidRPr="00CF1FAC">
              <w:rPr>
                <w:rStyle w:val="markedcontent"/>
                <w:rFonts w:eastAsiaTheme="minorHAnsi"/>
                <w:shd w:val="clear" w:color="auto" w:fill="FFFFFF"/>
                <w:lang w:val="uk-UA" w:eastAsia="en-US"/>
              </w:rPr>
              <w:t xml:space="preserve">Відповідно до частин першої та другої статті 30 Цивільного кодексу України (далі – ЦКУ) цивільну дієздатність має фізична особа, яка </w:t>
            </w:r>
            <w:r w:rsidRPr="00CF1FAC">
              <w:rPr>
                <w:rStyle w:val="markedcontent"/>
                <w:rFonts w:eastAsiaTheme="minorHAnsi"/>
                <w:u w:val="single"/>
                <w:shd w:val="clear" w:color="auto" w:fill="FFFFFF"/>
                <w:lang w:val="uk-UA" w:eastAsia="en-US"/>
              </w:rPr>
              <w:t xml:space="preserve">усвідомлює значення своїх дій та може керувати ними. </w:t>
            </w:r>
          </w:p>
          <w:p w:rsidR="00183228" w:rsidRDefault="00183228" w:rsidP="00183228">
            <w:pPr>
              <w:pStyle w:val="rvps2"/>
              <w:shd w:val="clear" w:color="auto" w:fill="FFFFFF"/>
              <w:spacing w:before="0" w:beforeAutospacing="0" w:after="0" w:afterAutospacing="0"/>
              <w:ind w:firstLine="450"/>
              <w:jc w:val="both"/>
              <w:rPr>
                <w:rStyle w:val="markedcontent"/>
                <w:rFonts w:eastAsiaTheme="minorHAnsi"/>
                <w:lang w:val="uk-UA" w:eastAsia="en-US"/>
              </w:rPr>
            </w:pPr>
            <w:r w:rsidRPr="00CF1FAC">
              <w:rPr>
                <w:rStyle w:val="markedcontent"/>
                <w:rFonts w:eastAsiaTheme="minorHAnsi"/>
                <w:lang w:val="uk-UA" w:eastAsia="en-US"/>
              </w:rPr>
              <w:t xml:space="preserve">Ігровий розлад, згідно з критеріями Міжнародної класифікації хвороб 11-го перегляду (МКХ-11), — це ігрова поведінка, яка характеризується </w:t>
            </w:r>
            <w:r w:rsidRPr="00CF1FAC">
              <w:rPr>
                <w:rStyle w:val="markedcontent"/>
                <w:rFonts w:eastAsiaTheme="minorHAnsi"/>
                <w:b/>
                <w:lang w:val="uk-UA" w:eastAsia="en-US"/>
              </w:rPr>
              <w:t>порушенням контролю</w:t>
            </w:r>
            <w:r w:rsidRPr="00CF1FAC">
              <w:rPr>
                <w:rStyle w:val="markedcontent"/>
                <w:rFonts w:eastAsiaTheme="minorHAnsi"/>
                <w:lang w:val="uk-UA" w:eastAsia="en-US"/>
              </w:rPr>
              <w:t xml:space="preserve"> над гральним процесом, </w:t>
            </w:r>
            <w:r w:rsidRPr="00CF1FAC">
              <w:rPr>
                <w:rStyle w:val="markedcontent"/>
                <w:rFonts w:eastAsiaTheme="minorHAnsi"/>
                <w:b/>
                <w:lang w:val="uk-UA" w:eastAsia="en-US"/>
              </w:rPr>
              <w:t xml:space="preserve">наданням пріоритету </w:t>
            </w:r>
            <w:proofErr w:type="spellStart"/>
            <w:r w:rsidRPr="00CF1FAC">
              <w:rPr>
                <w:rStyle w:val="markedcontent"/>
                <w:rFonts w:eastAsiaTheme="minorHAnsi"/>
                <w:b/>
                <w:lang w:val="uk-UA" w:eastAsia="en-US"/>
              </w:rPr>
              <w:t>геймінгу</w:t>
            </w:r>
            <w:proofErr w:type="spellEnd"/>
            <w:r w:rsidRPr="00CF1FAC">
              <w:rPr>
                <w:rStyle w:val="markedcontent"/>
                <w:rFonts w:eastAsiaTheme="minorHAnsi"/>
                <w:b/>
                <w:lang w:val="uk-UA" w:eastAsia="en-US"/>
              </w:rPr>
              <w:t xml:space="preserve"> над іншою діяльністю настільки, що бажання грати переважує всі інші інтереси, порушуючи повсякденний спосіб життя, попри навіть негативні наслідки від такого функціонування.</w:t>
            </w:r>
            <w:r w:rsidRPr="00CF1FAC">
              <w:rPr>
                <w:rStyle w:val="markedcontent"/>
                <w:rFonts w:eastAsiaTheme="minorHAnsi"/>
                <w:lang w:val="uk-UA" w:eastAsia="en-US"/>
              </w:rPr>
              <w:t xml:space="preserve"> </w:t>
            </w:r>
          </w:p>
          <w:p w:rsidR="00183228" w:rsidRPr="00626805" w:rsidRDefault="00183228" w:rsidP="00183228">
            <w:pPr>
              <w:pStyle w:val="rvps2"/>
              <w:shd w:val="clear" w:color="auto" w:fill="FFFFFF"/>
              <w:spacing w:before="0" w:beforeAutospacing="0" w:after="0" w:afterAutospacing="0"/>
              <w:ind w:firstLine="450"/>
              <w:jc w:val="both"/>
              <w:rPr>
                <w:rStyle w:val="markedcontent"/>
                <w:rFonts w:eastAsiaTheme="minorHAnsi"/>
                <w:u w:val="single"/>
                <w:shd w:val="clear" w:color="auto" w:fill="FFFFFF"/>
                <w:lang w:val="uk-UA" w:eastAsia="en-US"/>
              </w:rPr>
            </w:pPr>
            <w:r w:rsidRPr="00CF1FAC">
              <w:rPr>
                <w:rStyle w:val="markedcontent"/>
                <w:rFonts w:eastAsiaTheme="minorHAnsi"/>
                <w:shd w:val="clear" w:color="auto" w:fill="FFFFFF"/>
                <w:lang w:val="uk-UA" w:eastAsia="en-US"/>
              </w:rPr>
              <w:t xml:space="preserve">Згідно з частиною першою статті 36 ЦКУ </w:t>
            </w:r>
            <w:r w:rsidRPr="00626805">
              <w:rPr>
                <w:rStyle w:val="markedcontent"/>
                <w:rFonts w:eastAsiaTheme="minorHAnsi"/>
                <w:u w:val="single"/>
                <w:shd w:val="clear" w:color="auto" w:fill="FFFFFF"/>
                <w:lang w:val="uk-UA" w:eastAsia="en-US"/>
              </w:rPr>
              <w:t>суд може обмежити цивільну дієздатність фізичної особи, якщо вона страждає на психічний розлад, який істотно впливає на її здатність усвідомлювати значення своїх дій та (або) керувати ними.</w:t>
            </w:r>
          </w:p>
          <w:p w:rsidR="00183228" w:rsidRPr="00CF1FAC" w:rsidRDefault="00183228" w:rsidP="00183228">
            <w:pPr>
              <w:pStyle w:val="rvps2"/>
              <w:shd w:val="clear" w:color="auto" w:fill="FFFFFF"/>
              <w:spacing w:before="0" w:beforeAutospacing="0" w:after="0" w:afterAutospacing="0"/>
              <w:ind w:firstLine="450"/>
              <w:jc w:val="both"/>
              <w:rPr>
                <w:rStyle w:val="markedcontent"/>
                <w:rFonts w:eastAsiaTheme="minorHAnsi"/>
                <w:u w:val="single"/>
                <w:shd w:val="clear" w:color="auto" w:fill="FFFFFF"/>
                <w:lang w:val="uk-UA" w:eastAsia="en-US"/>
              </w:rPr>
            </w:pPr>
            <w:r w:rsidRPr="00CF1FAC">
              <w:rPr>
                <w:rStyle w:val="markedcontent"/>
                <w:rFonts w:eastAsiaTheme="minorHAnsi"/>
                <w:shd w:val="clear" w:color="auto" w:fill="FFFFFF"/>
                <w:lang w:val="uk-UA" w:eastAsia="en-US"/>
              </w:rPr>
              <w:t xml:space="preserve">Крім того, відповідно до частини другої статті 36 ЦКУ </w:t>
            </w:r>
            <w:r w:rsidRPr="00CF1FAC">
              <w:rPr>
                <w:rStyle w:val="markedcontent"/>
                <w:rFonts w:eastAsiaTheme="minorHAnsi"/>
                <w:u w:val="single"/>
                <w:shd w:val="clear" w:color="auto" w:fill="FFFFFF"/>
                <w:lang w:val="uk-UA" w:eastAsia="en-US"/>
              </w:rPr>
              <w:t>суд може обмежити цивільну дієздатність фізичної особи, якщо вона зловживає,</w:t>
            </w:r>
            <w:r w:rsidRPr="00CF1FAC">
              <w:rPr>
                <w:rStyle w:val="markedcontent"/>
                <w:rFonts w:eastAsiaTheme="minorHAnsi"/>
                <w:shd w:val="clear" w:color="auto" w:fill="FFFFFF"/>
                <w:lang w:val="uk-UA" w:eastAsia="en-US"/>
              </w:rPr>
              <w:t xml:space="preserve"> спиртними напоями, наркотичними засобами, токсичними речовинами, </w:t>
            </w:r>
            <w:r w:rsidRPr="00CF1FAC">
              <w:rPr>
                <w:rStyle w:val="markedcontent"/>
                <w:rFonts w:eastAsiaTheme="minorHAnsi"/>
                <w:u w:val="single"/>
                <w:shd w:val="clear" w:color="auto" w:fill="FFFFFF"/>
                <w:lang w:val="uk-UA" w:eastAsia="en-US"/>
              </w:rPr>
              <w:t>азартними іграми</w:t>
            </w:r>
            <w:r w:rsidRPr="00CF1FAC">
              <w:rPr>
                <w:rStyle w:val="markedcontent"/>
                <w:rFonts w:eastAsiaTheme="minorHAnsi"/>
                <w:shd w:val="clear" w:color="auto" w:fill="FFFFFF"/>
                <w:lang w:val="uk-UA" w:eastAsia="en-US"/>
              </w:rPr>
              <w:t xml:space="preserve"> тощо і тим </w:t>
            </w:r>
            <w:r w:rsidRPr="00CF1FAC">
              <w:rPr>
                <w:rStyle w:val="markedcontent"/>
                <w:rFonts w:eastAsiaTheme="minorHAnsi"/>
                <w:u w:val="single"/>
                <w:shd w:val="clear" w:color="auto" w:fill="FFFFFF"/>
                <w:lang w:val="uk-UA" w:eastAsia="en-US"/>
              </w:rPr>
              <w:t xml:space="preserve">ставить себе чи свою сім'ю, а також інших осіб, яких вона за законом зобов'язана утримувати, у скрутне матеріальне становище. </w:t>
            </w:r>
          </w:p>
          <w:p w:rsidR="00183228" w:rsidRPr="00230CDC" w:rsidRDefault="00183228" w:rsidP="00183228">
            <w:pPr>
              <w:pStyle w:val="rvps2"/>
              <w:shd w:val="clear" w:color="auto" w:fill="FFFFFF"/>
              <w:spacing w:before="0" w:beforeAutospacing="0" w:after="0" w:afterAutospacing="0"/>
              <w:ind w:firstLine="450"/>
              <w:jc w:val="both"/>
              <w:rPr>
                <w:rStyle w:val="markedcontent"/>
                <w:rFonts w:eastAsiaTheme="minorHAnsi"/>
                <w:shd w:val="clear" w:color="auto" w:fill="FFFFFF"/>
                <w:lang w:val="uk-UA" w:eastAsia="en-US"/>
              </w:rPr>
            </w:pPr>
            <w:r w:rsidRPr="00230CDC">
              <w:rPr>
                <w:rStyle w:val="markedcontent"/>
                <w:rFonts w:eastAsiaTheme="minorHAnsi"/>
                <w:shd w:val="clear" w:color="auto" w:fill="FFFFFF"/>
                <w:lang w:val="uk-UA" w:eastAsia="en-US"/>
              </w:rPr>
              <w:t xml:space="preserve">Стаття 39 ЦКУ зокрема визначає, що фізична особа може бути визнана судом недієздатною, якщо вона внаслідок хронічного, стійкого психічного розладу не здатна усвідомлювати значення своїх дій та (або) керувати ними. Порядок визнання фізичної особи недієздатною встановлюється Цивільним процесуальним кодексом </w:t>
            </w:r>
            <w:r w:rsidRPr="00230CDC">
              <w:rPr>
                <w:rStyle w:val="markedcontent"/>
                <w:rFonts w:eastAsiaTheme="minorHAnsi"/>
                <w:shd w:val="clear" w:color="auto" w:fill="FFFFFF"/>
                <w:lang w:val="uk-UA" w:eastAsia="en-US"/>
              </w:rPr>
              <w:lastRenderedPageBreak/>
              <w:t xml:space="preserve">України (далі – ЦПК). </w:t>
            </w:r>
          </w:p>
          <w:p w:rsidR="00183228" w:rsidRPr="00230CDC" w:rsidRDefault="00183228" w:rsidP="00183228">
            <w:pPr>
              <w:pStyle w:val="rvps2"/>
              <w:shd w:val="clear" w:color="auto" w:fill="FFFFFF"/>
              <w:spacing w:before="0" w:beforeAutospacing="0" w:after="0" w:afterAutospacing="0"/>
              <w:ind w:firstLine="448"/>
              <w:jc w:val="both"/>
              <w:rPr>
                <w:rStyle w:val="markedcontent"/>
                <w:rFonts w:eastAsiaTheme="minorHAnsi"/>
                <w:u w:val="single"/>
                <w:shd w:val="clear" w:color="auto" w:fill="FFFFFF"/>
                <w:lang w:val="uk-UA" w:eastAsia="en-US"/>
              </w:rPr>
            </w:pPr>
            <w:r w:rsidRPr="00230CDC">
              <w:rPr>
                <w:rStyle w:val="markedcontent"/>
                <w:rFonts w:eastAsiaTheme="minorHAnsi"/>
                <w:u w:val="single"/>
                <w:shd w:val="clear" w:color="auto" w:fill="FFFFFF"/>
                <w:lang w:val="uk-UA" w:eastAsia="en-US"/>
              </w:rPr>
              <w:t xml:space="preserve">Цивільна дієздатність фізичної особи є обмеженою з моменту набрання законної сили рішенням суду про це. </w:t>
            </w:r>
          </w:p>
          <w:p w:rsidR="00183228" w:rsidRPr="00230CDC" w:rsidRDefault="00183228" w:rsidP="00183228">
            <w:pPr>
              <w:pStyle w:val="rvps2"/>
              <w:shd w:val="clear" w:color="auto" w:fill="FFFFFF"/>
              <w:spacing w:before="0" w:beforeAutospacing="0" w:after="0" w:afterAutospacing="0"/>
              <w:ind w:firstLine="448"/>
              <w:jc w:val="both"/>
              <w:rPr>
                <w:rStyle w:val="markedcontent"/>
                <w:rFonts w:eastAsiaTheme="minorHAnsi"/>
                <w:shd w:val="clear" w:color="auto" w:fill="FFFFFF"/>
                <w:lang w:val="uk-UA" w:eastAsia="en-US"/>
              </w:rPr>
            </w:pPr>
            <w:r w:rsidRPr="00230CDC">
              <w:rPr>
                <w:rStyle w:val="markedcontent"/>
                <w:rFonts w:eastAsiaTheme="minorHAnsi"/>
                <w:shd w:val="clear" w:color="auto" w:fill="FFFFFF"/>
                <w:lang w:val="uk-UA" w:eastAsia="en-US"/>
              </w:rPr>
              <w:t>Зокрема, частиною першою статті 298 ЦПК визначено, що за наявності достатніх даних про психічний розлад здоров’я фізичної особи суд призначає для встановлення її психічного стану судово-психіатричну експертизу.</w:t>
            </w:r>
          </w:p>
          <w:p w:rsidR="00183228" w:rsidRPr="00230CDC" w:rsidRDefault="00183228" w:rsidP="00183228">
            <w:pPr>
              <w:pStyle w:val="rvps2"/>
              <w:shd w:val="clear" w:color="auto" w:fill="FFFFFF"/>
              <w:spacing w:before="0" w:beforeAutospacing="0" w:after="0" w:afterAutospacing="0"/>
              <w:ind w:firstLine="450"/>
              <w:jc w:val="both"/>
              <w:rPr>
                <w:rStyle w:val="markedcontent"/>
                <w:rFonts w:eastAsiaTheme="minorHAnsi"/>
                <w:shd w:val="clear" w:color="auto" w:fill="FFFFFF"/>
                <w:lang w:val="uk-UA" w:eastAsia="en-US"/>
              </w:rPr>
            </w:pPr>
            <w:r w:rsidRPr="00230CDC">
              <w:rPr>
                <w:rStyle w:val="markedcontent"/>
                <w:rFonts w:eastAsiaTheme="minorHAnsi"/>
                <w:shd w:val="clear" w:color="auto" w:fill="FFFFFF"/>
                <w:lang w:val="uk-UA" w:eastAsia="en-US"/>
              </w:rPr>
              <w:t>Відповідно до статті 300 ЦПК суд, ухвалюючи рішення про обмеження цивільної дієздатності фізичної особи чи визнання фізичної особи недієздатною, встановлює над нею відповідно піклування або опіку і за поданням органу опіки та піклування призначає їй піклувальника чи опікуна.</w:t>
            </w:r>
          </w:p>
          <w:p w:rsidR="00183228" w:rsidRPr="00230CDC" w:rsidRDefault="00183228" w:rsidP="00183228">
            <w:pPr>
              <w:pStyle w:val="rvps2"/>
              <w:shd w:val="clear" w:color="auto" w:fill="FFFFFF"/>
              <w:spacing w:before="0" w:beforeAutospacing="0" w:after="0" w:afterAutospacing="0"/>
              <w:ind w:firstLine="448"/>
              <w:jc w:val="both"/>
              <w:rPr>
                <w:rStyle w:val="markedcontent"/>
                <w:rFonts w:eastAsiaTheme="minorHAnsi"/>
                <w:shd w:val="clear" w:color="auto" w:fill="FFFFFF"/>
                <w:lang w:val="uk-UA" w:eastAsia="en-US"/>
              </w:rPr>
            </w:pPr>
            <w:r w:rsidRPr="00230CDC">
              <w:rPr>
                <w:rStyle w:val="markedcontent"/>
                <w:rFonts w:eastAsiaTheme="minorHAnsi"/>
                <w:shd w:val="clear" w:color="auto" w:fill="FFFFFF"/>
                <w:lang w:val="uk-UA" w:eastAsia="en-US"/>
              </w:rPr>
              <w:t>Скасування рішення суду про визнання фізичної особи недієздатною та поновлення цивільної дієздатності фізичної особи, яка була визнана недієздатною, в разі її видужання або значного поліпшення її психічного стану здійснюється за рішенням суду на підставі відповідного висновку судово-психіатричної експертизи за заявою опікуна, членів сім’ї, органу опіки та піклування або самої особи, визнаної недієздатною.</w:t>
            </w:r>
          </w:p>
          <w:p w:rsidR="00183228" w:rsidRPr="00230CDC" w:rsidRDefault="00183228" w:rsidP="00183228">
            <w:pPr>
              <w:pStyle w:val="rvps2"/>
              <w:shd w:val="clear" w:color="auto" w:fill="FFFFFF"/>
              <w:spacing w:before="0" w:beforeAutospacing="0" w:after="0" w:afterAutospacing="0"/>
              <w:ind w:firstLine="448"/>
              <w:jc w:val="both"/>
              <w:rPr>
                <w:rStyle w:val="markedcontent"/>
                <w:rFonts w:eastAsiaTheme="minorHAnsi"/>
                <w:shd w:val="clear" w:color="auto" w:fill="FFFFFF"/>
                <w:lang w:val="uk-UA" w:eastAsia="en-US"/>
              </w:rPr>
            </w:pPr>
            <w:r w:rsidRPr="00230CDC">
              <w:rPr>
                <w:rStyle w:val="markedcontent"/>
                <w:rFonts w:eastAsiaTheme="minorHAnsi"/>
                <w:lang w:val="uk-UA" w:eastAsia="en-US"/>
              </w:rPr>
              <w:t>Рішення суду після набрання ним законної сили надсилається судом органу опіки та піклування, органам ведення Державного реєстру виборців за місцем проживання фізичної особи.</w:t>
            </w:r>
          </w:p>
          <w:p w:rsidR="00183228" w:rsidRPr="00230CDC" w:rsidRDefault="00183228" w:rsidP="00183228">
            <w:pPr>
              <w:ind w:firstLine="459"/>
              <w:jc w:val="both"/>
              <w:rPr>
                <w:rStyle w:val="markedcontent"/>
                <w:rFonts w:ascii="Times New Roman" w:eastAsiaTheme="minorHAnsi" w:hAnsi="Times New Roman" w:cs="Times New Roman"/>
                <w:shd w:val="clear" w:color="auto" w:fill="FFFFFF"/>
                <w:lang w:eastAsia="en-US"/>
              </w:rPr>
            </w:pPr>
            <w:proofErr w:type="spellStart"/>
            <w:r w:rsidRPr="00230CDC">
              <w:rPr>
                <w:rStyle w:val="markedcontent"/>
                <w:rFonts w:ascii="Times New Roman" w:hAnsi="Times New Roman" w:cs="Times New Roman"/>
                <w:shd w:val="clear" w:color="auto" w:fill="FFFFFF"/>
              </w:rPr>
              <w:t>Одже</w:t>
            </w:r>
            <w:proofErr w:type="spellEnd"/>
            <w:r w:rsidRPr="00230CDC">
              <w:rPr>
                <w:rStyle w:val="markedcontent"/>
                <w:rFonts w:ascii="Times New Roman" w:hAnsi="Times New Roman" w:cs="Times New Roman"/>
                <w:shd w:val="clear" w:color="auto" w:fill="FFFFFF"/>
              </w:rPr>
              <w:t>, процедура визнання особи недієздатною або обмежено дієздатною набагато складніша (особа визнається недієздатною або обмежено дієздатною виключно за рішенням суду після проведення судово-психіатричної експертизи), ніж підтвердження наявності у особи вираженої ігрової залежності (</w:t>
            </w:r>
            <w:proofErr w:type="spellStart"/>
            <w:r w:rsidRPr="00230CDC">
              <w:rPr>
                <w:rStyle w:val="markedcontent"/>
                <w:rFonts w:ascii="Times New Roman" w:hAnsi="Times New Roman" w:cs="Times New Roman"/>
                <w:shd w:val="clear" w:color="auto" w:fill="FFFFFF"/>
              </w:rPr>
              <w:t>лудоманії</w:t>
            </w:r>
            <w:proofErr w:type="spellEnd"/>
            <w:r w:rsidRPr="00230CDC">
              <w:rPr>
                <w:rStyle w:val="markedcontent"/>
                <w:rFonts w:ascii="Times New Roman" w:hAnsi="Times New Roman" w:cs="Times New Roman"/>
                <w:shd w:val="clear" w:color="auto" w:fill="FFFFFF"/>
              </w:rPr>
              <w:t>) (наприклад, при отриманні відповідної довідки у лікаря-психіатра).</w:t>
            </w:r>
          </w:p>
          <w:p w:rsidR="00183228" w:rsidRPr="00626805" w:rsidRDefault="00183228" w:rsidP="00183228">
            <w:pPr>
              <w:pStyle w:val="rvps2"/>
              <w:shd w:val="clear" w:color="auto" w:fill="FFFFFF"/>
              <w:spacing w:before="0" w:beforeAutospacing="0" w:after="0" w:afterAutospacing="0"/>
              <w:ind w:firstLine="450"/>
              <w:jc w:val="both"/>
              <w:rPr>
                <w:rStyle w:val="markedcontent"/>
                <w:rFonts w:eastAsiaTheme="minorHAnsi"/>
                <w:shd w:val="clear" w:color="auto" w:fill="FFFFFF"/>
                <w:lang w:val="uk-UA" w:eastAsia="en-US"/>
              </w:rPr>
            </w:pPr>
            <w:r>
              <w:rPr>
                <w:rStyle w:val="markedcontent"/>
                <w:rFonts w:eastAsiaTheme="minorHAnsi"/>
                <w:shd w:val="clear" w:color="auto" w:fill="FFFFFF"/>
                <w:lang w:val="uk-UA" w:eastAsia="en-US"/>
              </w:rPr>
              <w:t>В</w:t>
            </w:r>
            <w:r w:rsidRPr="00626805">
              <w:rPr>
                <w:rStyle w:val="markedcontent"/>
                <w:rFonts w:eastAsiaTheme="minorHAnsi"/>
                <w:shd w:val="clear" w:color="auto" w:fill="FFFFFF"/>
                <w:lang w:val="uk-UA" w:eastAsia="en-US"/>
              </w:rPr>
              <w:t>ключення недієздатних та обмежено дієздатних осіб до переліку осіб, що будуть мати право отримати відшкодування фінансової шкоди:</w:t>
            </w:r>
          </w:p>
          <w:p w:rsidR="00183228" w:rsidRPr="00626805" w:rsidRDefault="00183228" w:rsidP="00183228">
            <w:pPr>
              <w:pStyle w:val="rvps2"/>
              <w:shd w:val="clear" w:color="auto" w:fill="FFFFFF"/>
              <w:spacing w:before="0" w:beforeAutospacing="0" w:after="0" w:afterAutospacing="0"/>
              <w:ind w:firstLine="450"/>
              <w:jc w:val="both"/>
              <w:rPr>
                <w:rStyle w:val="markedcontent"/>
                <w:rFonts w:eastAsiaTheme="minorHAnsi"/>
                <w:shd w:val="clear" w:color="auto" w:fill="FFFFFF"/>
                <w:lang w:val="uk-UA" w:eastAsia="en-US"/>
              </w:rPr>
            </w:pPr>
            <w:r w:rsidRPr="00626805">
              <w:rPr>
                <w:rStyle w:val="markedcontent"/>
                <w:rFonts w:eastAsiaTheme="minorHAnsi"/>
                <w:shd w:val="clear" w:color="auto" w:fill="FFFFFF"/>
                <w:lang w:val="uk-UA" w:eastAsia="en-US"/>
              </w:rPr>
              <w:t xml:space="preserve">по-перше,  відповідає вимогам Закону щодо віднесення </w:t>
            </w:r>
            <w:r w:rsidRPr="00626805">
              <w:rPr>
                <w:rStyle w:val="markedcontent"/>
                <w:rFonts w:eastAsiaTheme="minorHAnsi"/>
                <w:shd w:val="clear" w:color="auto" w:fill="FFFFFF"/>
                <w:lang w:val="uk-UA" w:eastAsia="en-US"/>
              </w:rPr>
              <w:lastRenderedPageBreak/>
              <w:t xml:space="preserve">цих осіб, до категорії осіб, яким заборонено приймати участь у азартних іграх та відповідно осіб, які згідно з </w:t>
            </w:r>
            <w:r w:rsidRPr="00626805">
              <w:rPr>
                <w:rStyle w:val="markedcontent"/>
                <w:shd w:val="clear" w:color="auto" w:fill="FFFFFF"/>
                <w:lang w:val="uk-UA"/>
              </w:rPr>
              <w:t>абзацом п’ятим частини другої статті 16 Закону</w:t>
            </w:r>
            <w:r w:rsidRPr="00626805">
              <w:rPr>
                <w:rStyle w:val="markedcontent"/>
                <w:rFonts w:eastAsiaTheme="minorHAnsi"/>
                <w:shd w:val="clear" w:color="auto" w:fill="FFFFFF"/>
                <w:lang w:val="uk-UA" w:eastAsia="en-US"/>
              </w:rPr>
              <w:t xml:space="preserve"> мають право на таке відшкодування;</w:t>
            </w:r>
          </w:p>
          <w:p w:rsidR="00183228" w:rsidRPr="00626805" w:rsidRDefault="00183228" w:rsidP="00183228">
            <w:pPr>
              <w:pStyle w:val="rvps2"/>
              <w:shd w:val="clear" w:color="auto" w:fill="FFFFFF"/>
              <w:spacing w:before="0" w:beforeAutospacing="0" w:after="0" w:afterAutospacing="0"/>
              <w:ind w:firstLine="450"/>
              <w:jc w:val="both"/>
              <w:rPr>
                <w:rStyle w:val="markedcontent"/>
                <w:rFonts w:eastAsiaTheme="minorHAnsi"/>
                <w:shd w:val="clear" w:color="auto" w:fill="FFFFFF"/>
                <w:lang w:val="uk-UA" w:eastAsia="en-US"/>
              </w:rPr>
            </w:pPr>
            <w:r w:rsidRPr="00626805">
              <w:rPr>
                <w:rStyle w:val="markedcontent"/>
                <w:rFonts w:eastAsiaTheme="minorHAnsi"/>
                <w:shd w:val="clear" w:color="auto" w:fill="FFFFFF"/>
                <w:lang w:val="uk-UA" w:eastAsia="en-US"/>
              </w:rPr>
              <w:t xml:space="preserve">по-друге, </w:t>
            </w:r>
            <w:r w:rsidRPr="00626805">
              <w:rPr>
                <w:rStyle w:val="markedcontent"/>
                <w:rFonts w:eastAsiaTheme="minorHAnsi"/>
                <w:u w:val="single"/>
                <w:shd w:val="clear" w:color="auto" w:fill="FFFFFF"/>
                <w:lang w:val="uk-UA" w:eastAsia="en-US"/>
              </w:rPr>
              <w:t>до цієї категорії потрапляють, зокрема, особи з вираженою ігровою залежністю (</w:t>
            </w:r>
            <w:proofErr w:type="spellStart"/>
            <w:r w:rsidRPr="00626805">
              <w:rPr>
                <w:rStyle w:val="markedcontent"/>
                <w:rFonts w:eastAsiaTheme="minorHAnsi"/>
                <w:u w:val="single"/>
                <w:shd w:val="clear" w:color="auto" w:fill="FFFFFF"/>
                <w:lang w:val="uk-UA" w:eastAsia="en-US"/>
              </w:rPr>
              <w:t>лудоманією</w:t>
            </w:r>
            <w:proofErr w:type="spellEnd"/>
            <w:r w:rsidRPr="00626805">
              <w:rPr>
                <w:rStyle w:val="markedcontent"/>
                <w:rFonts w:eastAsiaTheme="minorHAnsi"/>
                <w:u w:val="single"/>
                <w:shd w:val="clear" w:color="auto" w:fill="FFFFFF"/>
                <w:lang w:val="uk-UA" w:eastAsia="en-US"/>
              </w:rPr>
              <w:t>)</w:t>
            </w:r>
            <w:r w:rsidRPr="00626805">
              <w:rPr>
                <w:rStyle w:val="markedcontent"/>
                <w:rFonts w:eastAsiaTheme="minorHAnsi"/>
                <w:shd w:val="clear" w:color="auto" w:fill="FFFFFF"/>
                <w:lang w:val="uk-UA" w:eastAsia="en-US"/>
              </w:rPr>
              <w:t xml:space="preserve"> за умови визнання судом такої особи недієздатною або обмежено дієздатною;</w:t>
            </w:r>
          </w:p>
          <w:p w:rsidR="00183228" w:rsidRPr="00626805" w:rsidRDefault="00183228" w:rsidP="00183228">
            <w:pPr>
              <w:pStyle w:val="rvps2"/>
              <w:shd w:val="clear" w:color="auto" w:fill="FFFFFF"/>
              <w:spacing w:before="0" w:beforeAutospacing="0" w:after="0" w:afterAutospacing="0"/>
              <w:ind w:firstLine="450"/>
              <w:jc w:val="both"/>
              <w:rPr>
                <w:rStyle w:val="markedcontent"/>
                <w:rFonts w:eastAsiaTheme="minorHAnsi"/>
                <w:shd w:val="clear" w:color="auto" w:fill="FFFFFF"/>
                <w:lang w:val="uk-UA" w:eastAsia="en-US"/>
              </w:rPr>
            </w:pPr>
            <w:r w:rsidRPr="00626805">
              <w:rPr>
                <w:rStyle w:val="markedcontent"/>
                <w:rFonts w:eastAsiaTheme="minorHAnsi"/>
                <w:shd w:val="clear" w:color="auto" w:fill="FFFFFF"/>
                <w:lang w:val="uk-UA" w:eastAsia="en-US"/>
              </w:rPr>
              <w:t>по-третє, виключає можливість зловживань з боку гравців з метою отримання відшкодування фінансової шкоди;</w:t>
            </w:r>
          </w:p>
          <w:p w:rsidR="00183228" w:rsidRPr="00626805" w:rsidRDefault="00183228" w:rsidP="00183228">
            <w:pPr>
              <w:pStyle w:val="rvps2"/>
              <w:shd w:val="clear" w:color="auto" w:fill="FFFFFF"/>
              <w:spacing w:before="0" w:beforeAutospacing="0" w:after="0" w:afterAutospacing="0"/>
              <w:ind w:firstLine="450"/>
              <w:jc w:val="both"/>
              <w:rPr>
                <w:rStyle w:val="markedcontent"/>
                <w:rFonts w:eastAsiaTheme="minorHAnsi"/>
                <w:shd w:val="clear" w:color="auto" w:fill="FFFFFF"/>
                <w:lang w:val="uk-UA" w:eastAsia="en-US"/>
              </w:rPr>
            </w:pPr>
            <w:r w:rsidRPr="00626805">
              <w:rPr>
                <w:rStyle w:val="markedcontent"/>
                <w:rFonts w:eastAsiaTheme="minorHAnsi"/>
                <w:shd w:val="clear" w:color="auto" w:fill="FFFFFF"/>
                <w:lang w:val="uk-UA" w:eastAsia="en-US"/>
              </w:rPr>
              <w:t>по-четверте, забезпечить баланс інтересів суб’єктів господарювання (організаторів азартних ігор) та фізичних осіб (гравців).</w:t>
            </w:r>
          </w:p>
          <w:p w:rsidR="00183228" w:rsidRDefault="00183228" w:rsidP="00183228">
            <w:pPr>
              <w:ind w:firstLine="459"/>
              <w:jc w:val="both"/>
              <w:rPr>
                <w:rFonts w:eastAsia="Times New Roman"/>
                <w:bCs/>
              </w:rPr>
            </w:pPr>
          </w:p>
          <w:p w:rsidR="00183228" w:rsidRPr="002B68EC" w:rsidRDefault="00183228" w:rsidP="00183228">
            <w:pPr>
              <w:ind w:firstLine="459"/>
              <w:jc w:val="both"/>
              <w:rPr>
                <w:rFonts w:asciiTheme="minorHAnsi" w:hAnsiTheme="minorHAnsi" w:cs="Times New Roman"/>
                <w:bCs/>
              </w:rPr>
            </w:pPr>
          </w:p>
        </w:tc>
      </w:tr>
      <w:tr w:rsidR="0016005A" w:rsidRPr="007C44E0" w:rsidTr="00FA12E7">
        <w:trPr>
          <w:trHeight w:val="1911"/>
        </w:trPr>
        <w:tc>
          <w:tcPr>
            <w:tcW w:w="4219" w:type="dxa"/>
            <w:tcBorders>
              <w:top w:val="single" w:sz="4" w:space="0" w:color="auto"/>
              <w:left w:val="single" w:sz="4" w:space="0" w:color="auto"/>
              <w:bottom w:val="single" w:sz="4" w:space="0" w:color="auto"/>
              <w:right w:val="single" w:sz="4" w:space="0" w:color="auto"/>
            </w:tcBorders>
            <w:shd w:val="clear" w:color="auto" w:fill="auto"/>
          </w:tcPr>
          <w:p w:rsidR="00D118C3" w:rsidRPr="007C44E0" w:rsidRDefault="00E56374" w:rsidP="003F2526">
            <w:pPr>
              <w:ind w:left="34" w:firstLine="567"/>
              <w:jc w:val="both"/>
              <w:rPr>
                <w:rFonts w:ascii="Times New Roman" w:eastAsia="Times New Roman" w:hAnsi="Times New Roman" w:cs="Times New Roman"/>
                <w:b/>
                <w:bCs/>
              </w:rPr>
            </w:pPr>
            <w:r w:rsidRPr="007C44E0">
              <w:rPr>
                <w:rFonts w:ascii="Times New Roman" w:eastAsiaTheme="minorHAnsi" w:hAnsi="Times New Roman" w:cs="Times New Roman"/>
                <w:b/>
                <w:kern w:val="0"/>
                <w:lang w:eastAsia="en-US" w:bidi="ar-SA"/>
              </w:rPr>
              <w:lastRenderedPageBreak/>
              <w:t xml:space="preserve"> </w:t>
            </w:r>
            <w:r w:rsidR="003372B0" w:rsidRPr="007C44E0">
              <w:rPr>
                <w:rFonts w:ascii="Times New Roman" w:eastAsiaTheme="minorHAnsi" w:hAnsi="Times New Roman" w:cs="Times New Roman"/>
                <w:lang w:eastAsia="en-US"/>
              </w:rPr>
              <w:t xml:space="preserve">Частиною першою статті 207 Сімейного кодексу України встановлено, що усиновленням є прийняття </w:t>
            </w:r>
            <w:proofErr w:type="spellStart"/>
            <w:r w:rsidR="003372B0" w:rsidRPr="007C44E0">
              <w:rPr>
                <w:rFonts w:ascii="Times New Roman" w:eastAsiaTheme="minorHAnsi" w:hAnsi="Times New Roman" w:cs="Times New Roman"/>
                <w:lang w:eastAsia="en-US"/>
              </w:rPr>
              <w:t>усиновлювачем</w:t>
            </w:r>
            <w:proofErr w:type="spellEnd"/>
            <w:r w:rsidR="003372B0" w:rsidRPr="007C44E0">
              <w:rPr>
                <w:rFonts w:ascii="Times New Roman" w:eastAsiaTheme="minorHAnsi" w:hAnsi="Times New Roman" w:cs="Times New Roman"/>
                <w:lang w:eastAsia="en-US"/>
              </w:rPr>
              <w:t xml:space="preserve"> у свою сім’ю особи на правах дочки чи сина, що здійснене на підставі рішення суду.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34CDD" w:rsidRDefault="00234CDD" w:rsidP="003372B0">
            <w:pPr>
              <w:pStyle w:val="rvps2"/>
              <w:shd w:val="clear" w:color="auto" w:fill="FFFFFF"/>
              <w:spacing w:before="0" w:beforeAutospacing="0" w:after="0" w:afterAutospacing="0"/>
              <w:ind w:firstLine="448"/>
              <w:jc w:val="both"/>
              <w:rPr>
                <w:rFonts w:eastAsia="Calibri"/>
                <w:lang w:val="uk-UA"/>
              </w:rPr>
            </w:pPr>
          </w:p>
          <w:p w:rsidR="003372B0" w:rsidRPr="007C44E0" w:rsidRDefault="003372B0" w:rsidP="003372B0">
            <w:pPr>
              <w:pStyle w:val="rvps2"/>
              <w:shd w:val="clear" w:color="auto" w:fill="FFFFFF"/>
              <w:spacing w:before="0" w:beforeAutospacing="0" w:after="0" w:afterAutospacing="0"/>
              <w:ind w:firstLine="448"/>
              <w:jc w:val="both"/>
              <w:rPr>
                <w:rFonts w:eastAsiaTheme="minorHAnsi"/>
                <w:lang w:val="uk-UA" w:eastAsia="en-US"/>
              </w:rPr>
            </w:pPr>
            <w:r w:rsidRPr="007C44E0">
              <w:rPr>
                <w:rFonts w:eastAsia="Calibri"/>
                <w:lang w:val="uk-UA"/>
              </w:rPr>
              <w:t>3</w:t>
            </w:r>
            <w:r w:rsidRPr="007C44E0">
              <w:rPr>
                <w:rFonts w:eastAsiaTheme="minorHAnsi"/>
                <w:lang w:val="uk-UA" w:eastAsia="en-US"/>
              </w:rPr>
              <w:t>. У цьому Порядку терміни вживаються в таких значеннях:</w:t>
            </w:r>
          </w:p>
          <w:p w:rsidR="003372B0" w:rsidRPr="007C44E0" w:rsidRDefault="003372B0" w:rsidP="003372B0">
            <w:pPr>
              <w:pStyle w:val="rvps2"/>
              <w:shd w:val="clear" w:color="auto" w:fill="FFFFFF"/>
              <w:spacing w:before="0" w:beforeAutospacing="0" w:after="0" w:afterAutospacing="0"/>
              <w:ind w:firstLine="448"/>
              <w:jc w:val="center"/>
              <w:rPr>
                <w:rFonts w:eastAsiaTheme="minorHAnsi"/>
                <w:lang w:val="uk-UA" w:eastAsia="en-US"/>
              </w:rPr>
            </w:pPr>
            <w:r w:rsidRPr="007C44E0">
              <w:rPr>
                <w:rFonts w:eastAsiaTheme="minorHAnsi"/>
                <w:lang w:val="uk-UA" w:eastAsia="en-US"/>
              </w:rPr>
              <w:t>(…)</w:t>
            </w:r>
          </w:p>
          <w:p w:rsidR="00E56374" w:rsidRPr="007C44E0" w:rsidRDefault="00D118C3" w:rsidP="00FA12E7">
            <w:pPr>
              <w:pStyle w:val="a3"/>
              <w:spacing w:before="120" w:after="120"/>
              <w:ind w:left="0" w:firstLine="567"/>
              <w:jc w:val="both"/>
              <w:rPr>
                <w:rFonts w:ascii="Times New Roman" w:eastAsia="Times New Roman" w:hAnsi="Times New Roman" w:cs="Times New Roman"/>
                <w:b/>
                <w:bCs/>
              </w:rPr>
            </w:pPr>
            <w:r w:rsidRPr="007C44E0">
              <w:rPr>
                <w:rFonts w:ascii="Times New Roman" w:eastAsiaTheme="minorHAnsi" w:hAnsi="Times New Roman" w:cs="Times New Roman"/>
                <w:kern w:val="0"/>
                <w:szCs w:val="24"/>
                <w:lang w:eastAsia="en-US" w:bidi="ar-SA"/>
              </w:rPr>
              <w:t xml:space="preserve">члени сім’ї особи - батьки, чоловік або дружина, </w:t>
            </w:r>
            <w:r w:rsidRPr="00EF2E99">
              <w:rPr>
                <w:rFonts w:ascii="Times New Roman" w:eastAsiaTheme="minorHAnsi" w:hAnsi="Times New Roman" w:cs="Times New Roman"/>
                <w:kern w:val="0"/>
                <w:szCs w:val="24"/>
                <w:lang w:eastAsia="en-US" w:bidi="ar-SA"/>
              </w:rPr>
              <w:t>діти фізичної особи, у тому числі усиновлені.</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E29E9" w:rsidRDefault="00E56374" w:rsidP="005F5612">
            <w:pPr>
              <w:jc w:val="center"/>
              <w:rPr>
                <w:rFonts w:ascii="Times New Roman" w:eastAsia="Times New Roman" w:hAnsi="Times New Roman" w:cs="Times New Roman"/>
                <w:b/>
                <w:bCs/>
              </w:rPr>
            </w:pPr>
            <w:r w:rsidRPr="007C44E0">
              <w:rPr>
                <w:rFonts w:ascii="Times New Roman" w:eastAsia="Times New Roman" w:hAnsi="Times New Roman" w:cs="Times New Roman"/>
                <w:b/>
                <w:bCs/>
              </w:rPr>
              <w:t>Враховано</w:t>
            </w:r>
            <w:r w:rsidR="00234CDD">
              <w:rPr>
                <w:rFonts w:ascii="Times New Roman" w:eastAsia="Times New Roman" w:hAnsi="Times New Roman" w:cs="Times New Roman"/>
                <w:b/>
                <w:bCs/>
              </w:rPr>
              <w:t>.</w:t>
            </w:r>
          </w:p>
          <w:p w:rsidR="00EF2E99" w:rsidRPr="007C44E0" w:rsidRDefault="00EF2E99" w:rsidP="00EF2E99">
            <w:pPr>
              <w:pStyle w:val="rvps2"/>
              <w:shd w:val="clear" w:color="auto" w:fill="FFFFFF"/>
              <w:spacing w:before="0" w:beforeAutospacing="0" w:after="0" w:afterAutospacing="0"/>
              <w:ind w:firstLine="448"/>
              <w:jc w:val="both"/>
              <w:rPr>
                <w:rFonts w:eastAsiaTheme="minorHAnsi"/>
                <w:lang w:val="uk-UA" w:eastAsia="en-US"/>
              </w:rPr>
            </w:pPr>
            <w:r w:rsidRPr="007C44E0">
              <w:rPr>
                <w:rFonts w:eastAsia="Calibri"/>
                <w:lang w:val="uk-UA"/>
              </w:rPr>
              <w:t>3</w:t>
            </w:r>
            <w:r w:rsidRPr="007C44E0">
              <w:rPr>
                <w:rFonts w:eastAsiaTheme="minorHAnsi"/>
                <w:lang w:val="uk-UA" w:eastAsia="en-US"/>
              </w:rPr>
              <w:t>. У цьому Порядку терміни вживаються в таких значеннях:</w:t>
            </w:r>
          </w:p>
          <w:p w:rsidR="00EF2E99" w:rsidRPr="007C44E0" w:rsidRDefault="00EF2E99" w:rsidP="00EF2E99">
            <w:pPr>
              <w:pStyle w:val="rvps2"/>
              <w:shd w:val="clear" w:color="auto" w:fill="FFFFFF"/>
              <w:spacing w:before="0" w:beforeAutospacing="0" w:after="0" w:afterAutospacing="0"/>
              <w:ind w:firstLine="448"/>
              <w:jc w:val="center"/>
              <w:rPr>
                <w:rFonts w:eastAsiaTheme="minorHAnsi"/>
                <w:lang w:val="uk-UA" w:eastAsia="en-US"/>
              </w:rPr>
            </w:pPr>
            <w:r w:rsidRPr="007C44E0">
              <w:rPr>
                <w:rFonts w:eastAsiaTheme="minorHAnsi"/>
                <w:lang w:val="uk-UA" w:eastAsia="en-US"/>
              </w:rPr>
              <w:t>(…)</w:t>
            </w:r>
          </w:p>
          <w:p w:rsidR="00E56374" w:rsidRPr="007C44E0" w:rsidRDefault="00EF2E99" w:rsidP="00183228">
            <w:pPr>
              <w:rPr>
                <w:rFonts w:ascii="Times New Roman" w:eastAsia="Times New Roman" w:hAnsi="Times New Roman" w:cs="Times New Roman"/>
                <w:b/>
                <w:bCs/>
              </w:rPr>
            </w:pPr>
            <w:r w:rsidRPr="007C44E0">
              <w:rPr>
                <w:rFonts w:ascii="Times New Roman" w:eastAsiaTheme="minorHAnsi" w:hAnsi="Times New Roman" w:cs="Times New Roman"/>
                <w:kern w:val="0"/>
                <w:lang w:eastAsia="en-US" w:bidi="ar-SA"/>
              </w:rPr>
              <w:t>члени сім’ї особи - батьки, чоловік або дружина, діти</w:t>
            </w:r>
            <w:r w:rsidR="00183228">
              <w:rPr>
                <w:rFonts w:ascii="Times New Roman" w:eastAsiaTheme="minorHAnsi" w:hAnsi="Times New Roman" w:cs="Times New Roman"/>
                <w:kern w:val="0"/>
                <w:lang w:eastAsia="en-US" w:bidi="ar-SA"/>
              </w:rPr>
              <w:t>.</w:t>
            </w:r>
            <w:r w:rsidRPr="007C44E0">
              <w:rPr>
                <w:rFonts w:ascii="Times New Roman" w:eastAsiaTheme="minorHAnsi" w:hAnsi="Times New Roman" w:cs="Times New Roman"/>
                <w:kern w:val="0"/>
                <w:lang w:eastAsia="en-US" w:bidi="ar-SA"/>
              </w:rPr>
              <w:t xml:space="preserve"> </w:t>
            </w:r>
          </w:p>
        </w:tc>
      </w:tr>
    </w:tbl>
    <w:p w:rsidR="00E56374" w:rsidRPr="007C44E0" w:rsidRDefault="00E56374" w:rsidP="00E56374">
      <w:pPr>
        <w:rPr>
          <w:rFonts w:ascii="Times New Roman" w:hAnsi="Times New Roman" w:cs="Times New Roman"/>
        </w:rPr>
      </w:pPr>
    </w:p>
    <w:p w:rsidR="003B5AF8" w:rsidRDefault="003B5AF8" w:rsidP="006155D3">
      <w:pPr>
        <w:rPr>
          <w:rFonts w:ascii="Times New Roman" w:eastAsia="Calibri" w:hAnsi="Times New Roman" w:cs="Times New Roman"/>
          <w:kern w:val="0"/>
          <w:sz w:val="28"/>
          <w:szCs w:val="28"/>
          <w:lang w:bidi="ar-SA"/>
        </w:rPr>
      </w:pPr>
    </w:p>
    <w:p w:rsidR="006155D3" w:rsidRPr="003B5AF8" w:rsidRDefault="003B5AF8" w:rsidP="006155D3">
      <w:pPr>
        <w:rPr>
          <w:rFonts w:ascii="Times New Roman" w:eastAsia="Times New Roman" w:hAnsi="Times New Roman" w:cs="Times New Roman"/>
          <w:b/>
          <w:kern w:val="0"/>
          <w:sz w:val="16"/>
          <w:szCs w:val="16"/>
          <w:lang w:bidi="ar-SA"/>
        </w:rPr>
      </w:pPr>
      <w:r w:rsidRPr="003B5AF8">
        <w:rPr>
          <w:rFonts w:ascii="Times New Roman" w:eastAsia="Calibri" w:hAnsi="Times New Roman" w:cs="Times New Roman"/>
          <w:b/>
          <w:kern w:val="0"/>
          <w:sz w:val="28"/>
          <w:szCs w:val="28"/>
          <w:lang w:bidi="ar-SA"/>
        </w:rPr>
        <w:t xml:space="preserve">Голова КРАІЛ </w:t>
      </w:r>
      <w:r w:rsidRPr="003B5AF8">
        <w:rPr>
          <w:rFonts w:ascii="Times New Roman" w:eastAsia="Calibri" w:hAnsi="Times New Roman" w:cs="Times New Roman"/>
          <w:b/>
          <w:kern w:val="0"/>
          <w:sz w:val="28"/>
          <w:szCs w:val="28"/>
          <w:lang w:bidi="ar-SA"/>
        </w:rPr>
        <w:tab/>
      </w:r>
      <w:r w:rsidRPr="003B5AF8">
        <w:rPr>
          <w:rFonts w:ascii="Times New Roman" w:eastAsia="Calibri" w:hAnsi="Times New Roman" w:cs="Times New Roman"/>
          <w:b/>
          <w:kern w:val="0"/>
          <w:sz w:val="28"/>
          <w:szCs w:val="28"/>
          <w:lang w:bidi="ar-SA"/>
        </w:rPr>
        <w:tab/>
      </w:r>
      <w:r w:rsidRPr="003B5AF8">
        <w:rPr>
          <w:rFonts w:ascii="Times New Roman" w:eastAsia="Calibri" w:hAnsi="Times New Roman" w:cs="Times New Roman"/>
          <w:b/>
          <w:kern w:val="0"/>
          <w:sz w:val="28"/>
          <w:szCs w:val="28"/>
          <w:lang w:bidi="ar-SA"/>
        </w:rPr>
        <w:tab/>
      </w:r>
      <w:r w:rsidRPr="003B5AF8">
        <w:rPr>
          <w:rFonts w:ascii="Times New Roman" w:eastAsia="Calibri" w:hAnsi="Times New Roman" w:cs="Times New Roman"/>
          <w:b/>
          <w:kern w:val="0"/>
          <w:sz w:val="28"/>
          <w:szCs w:val="28"/>
          <w:lang w:bidi="ar-SA"/>
        </w:rPr>
        <w:tab/>
      </w:r>
      <w:r w:rsidRPr="003B5AF8">
        <w:rPr>
          <w:rFonts w:ascii="Times New Roman" w:eastAsia="Calibri" w:hAnsi="Times New Roman" w:cs="Times New Roman"/>
          <w:b/>
          <w:kern w:val="0"/>
          <w:sz w:val="28"/>
          <w:szCs w:val="28"/>
          <w:lang w:bidi="ar-SA"/>
        </w:rPr>
        <w:tab/>
      </w:r>
      <w:r w:rsidRPr="003B5AF8">
        <w:rPr>
          <w:rFonts w:ascii="Times New Roman" w:eastAsia="Calibri" w:hAnsi="Times New Roman" w:cs="Times New Roman"/>
          <w:b/>
          <w:kern w:val="0"/>
          <w:sz w:val="28"/>
          <w:szCs w:val="28"/>
          <w:lang w:bidi="ar-SA"/>
        </w:rPr>
        <w:tab/>
      </w:r>
      <w:r w:rsidRPr="003B5AF8">
        <w:rPr>
          <w:rFonts w:ascii="Times New Roman" w:eastAsia="Calibri" w:hAnsi="Times New Roman" w:cs="Times New Roman"/>
          <w:b/>
          <w:kern w:val="0"/>
          <w:sz w:val="28"/>
          <w:szCs w:val="28"/>
          <w:lang w:bidi="ar-SA"/>
        </w:rPr>
        <w:tab/>
      </w:r>
      <w:r w:rsidRPr="003B5AF8">
        <w:rPr>
          <w:rFonts w:ascii="Times New Roman" w:eastAsia="Calibri" w:hAnsi="Times New Roman" w:cs="Times New Roman"/>
          <w:b/>
          <w:kern w:val="0"/>
          <w:sz w:val="28"/>
          <w:szCs w:val="28"/>
          <w:lang w:bidi="ar-SA"/>
        </w:rPr>
        <w:tab/>
      </w:r>
      <w:r w:rsidRPr="003B5AF8">
        <w:rPr>
          <w:rFonts w:ascii="Times New Roman" w:eastAsia="Calibri" w:hAnsi="Times New Roman" w:cs="Times New Roman"/>
          <w:b/>
          <w:kern w:val="0"/>
          <w:sz w:val="28"/>
          <w:szCs w:val="28"/>
          <w:lang w:bidi="ar-SA"/>
        </w:rPr>
        <w:tab/>
      </w:r>
      <w:r w:rsidRPr="003B5AF8">
        <w:rPr>
          <w:rFonts w:ascii="Times New Roman" w:eastAsia="Calibri" w:hAnsi="Times New Roman" w:cs="Times New Roman"/>
          <w:b/>
          <w:kern w:val="0"/>
          <w:sz w:val="28"/>
          <w:szCs w:val="28"/>
          <w:lang w:bidi="ar-SA"/>
        </w:rPr>
        <w:tab/>
      </w:r>
      <w:r w:rsidRPr="003B5AF8">
        <w:rPr>
          <w:rFonts w:ascii="Times New Roman" w:eastAsia="Calibri" w:hAnsi="Times New Roman" w:cs="Times New Roman"/>
          <w:b/>
          <w:kern w:val="0"/>
          <w:sz w:val="28"/>
          <w:szCs w:val="28"/>
          <w:lang w:bidi="ar-SA"/>
        </w:rPr>
        <w:tab/>
      </w:r>
      <w:r w:rsidRPr="003B5AF8">
        <w:rPr>
          <w:rFonts w:ascii="Times New Roman" w:eastAsia="Calibri" w:hAnsi="Times New Roman" w:cs="Times New Roman"/>
          <w:b/>
          <w:kern w:val="0"/>
          <w:sz w:val="28"/>
          <w:szCs w:val="28"/>
          <w:lang w:bidi="ar-SA"/>
        </w:rPr>
        <w:tab/>
      </w:r>
      <w:r w:rsidRPr="003B5AF8">
        <w:rPr>
          <w:rFonts w:ascii="Times New Roman" w:eastAsia="Calibri" w:hAnsi="Times New Roman" w:cs="Times New Roman"/>
          <w:b/>
          <w:kern w:val="0"/>
          <w:sz w:val="28"/>
          <w:szCs w:val="28"/>
          <w:lang w:bidi="ar-SA"/>
        </w:rPr>
        <w:tab/>
      </w:r>
      <w:r w:rsidRPr="003B5AF8">
        <w:rPr>
          <w:rFonts w:ascii="Times New Roman" w:eastAsia="Calibri" w:hAnsi="Times New Roman" w:cs="Times New Roman"/>
          <w:b/>
          <w:kern w:val="0"/>
          <w:sz w:val="28"/>
          <w:szCs w:val="28"/>
          <w:lang w:bidi="ar-SA"/>
        </w:rPr>
        <w:tab/>
        <w:t>Іван РУДИЙ</w:t>
      </w:r>
    </w:p>
    <w:p w:rsidR="006155D3" w:rsidRPr="00CB629A" w:rsidRDefault="006155D3" w:rsidP="006155D3">
      <w:pPr>
        <w:pStyle w:val="a6"/>
        <w:ind w:left="0" w:firstLine="0"/>
        <w:rPr>
          <w:szCs w:val="28"/>
          <w:lang w:val="uk-UA"/>
        </w:rPr>
      </w:pPr>
    </w:p>
    <w:p w:rsidR="00E56374" w:rsidRPr="007C44E0" w:rsidRDefault="00E56374" w:rsidP="00E56374">
      <w:pPr>
        <w:rPr>
          <w:rFonts w:ascii="Times New Roman" w:hAnsi="Times New Roman" w:cs="Times New Roman"/>
        </w:rPr>
      </w:pPr>
      <w:bookmarkStart w:id="0" w:name="_GoBack"/>
      <w:bookmarkEnd w:id="0"/>
      <w:r w:rsidRPr="007C44E0">
        <w:rPr>
          <w:rFonts w:ascii="Times New Roman" w:hAnsi="Times New Roman" w:cs="Times New Roman"/>
        </w:rPr>
        <w:t xml:space="preserve">«__» ______________2022 р. </w:t>
      </w:r>
    </w:p>
    <w:p w:rsidR="00E56374" w:rsidRPr="007C44E0" w:rsidRDefault="00E56374" w:rsidP="00E56374">
      <w:pPr>
        <w:rPr>
          <w:rFonts w:ascii="Times New Roman" w:hAnsi="Times New Roman" w:cs="Times New Roman"/>
        </w:rPr>
      </w:pPr>
    </w:p>
    <w:p w:rsidR="00390349" w:rsidRPr="007C44E0" w:rsidRDefault="00390349">
      <w:pPr>
        <w:rPr>
          <w:rFonts w:ascii="Times New Roman" w:hAnsi="Times New Roman" w:cs="Times New Roman"/>
        </w:rPr>
      </w:pPr>
    </w:p>
    <w:sectPr w:rsidR="00390349" w:rsidRPr="007C44E0" w:rsidSect="002B68EC">
      <w:headerReference w:type="default" r:id="rId8"/>
      <w:pgSz w:w="16838" w:h="11906" w:orient="landscape"/>
      <w:pgMar w:top="1134"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1E" w:rsidRDefault="00273A1E">
      <w:pPr>
        <w:rPr>
          <w:rFonts w:hint="eastAsia"/>
        </w:rPr>
      </w:pPr>
      <w:r>
        <w:separator/>
      </w:r>
    </w:p>
  </w:endnote>
  <w:endnote w:type="continuationSeparator" w:id="0">
    <w:p w:rsidR="00273A1E" w:rsidRDefault="00273A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2020603050405020304"/>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1E" w:rsidRDefault="00273A1E">
      <w:pPr>
        <w:rPr>
          <w:rFonts w:hint="eastAsia"/>
        </w:rPr>
      </w:pPr>
      <w:r>
        <w:separator/>
      </w:r>
    </w:p>
  </w:footnote>
  <w:footnote w:type="continuationSeparator" w:id="0">
    <w:p w:rsidR="00273A1E" w:rsidRDefault="00273A1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477589"/>
      <w:docPartObj>
        <w:docPartGallery w:val="Page Numbers (Top of Page)"/>
        <w:docPartUnique/>
      </w:docPartObj>
    </w:sdtPr>
    <w:sdtEndPr/>
    <w:sdtContent>
      <w:p w:rsidR="00273A1E" w:rsidRDefault="00273A1E">
        <w:pPr>
          <w:pStyle w:val="a4"/>
          <w:jc w:val="center"/>
          <w:rPr>
            <w:rFonts w:hint="eastAsia"/>
          </w:rPr>
        </w:pPr>
        <w:r>
          <w:fldChar w:fldCharType="begin"/>
        </w:r>
        <w:r>
          <w:instrText>PAGE   \* MERGEFORMAT</w:instrText>
        </w:r>
        <w:r>
          <w:fldChar w:fldCharType="separate"/>
        </w:r>
        <w:r w:rsidR="003B5AF8" w:rsidRPr="003B5AF8">
          <w:rPr>
            <w:rFonts w:hint="eastAsia"/>
            <w:noProof/>
            <w:lang w:val="ru-RU"/>
          </w:rPr>
          <w:t>7</w:t>
        </w:r>
        <w:r>
          <w:fldChar w:fldCharType="end"/>
        </w:r>
      </w:p>
    </w:sdtContent>
  </w:sdt>
  <w:p w:rsidR="00273A1E" w:rsidRDefault="00273A1E">
    <w:pPr>
      <w:pStyle w:val="a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91177"/>
    <w:multiLevelType w:val="hybridMultilevel"/>
    <w:tmpl w:val="404CF59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74"/>
    <w:rsid w:val="00057912"/>
    <w:rsid w:val="00073D2C"/>
    <w:rsid w:val="000F331B"/>
    <w:rsid w:val="0016005A"/>
    <w:rsid w:val="00183228"/>
    <w:rsid w:val="001A0A6D"/>
    <w:rsid w:val="001D524B"/>
    <w:rsid w:val="00230CDC"/>
    <w:rsid w:val="00234CDD"/>
    <w:rsid w:val="00263E52"/>
    <w:rsid w:val="0027091F"/>
    <w:rsid w:val="00273A1E"/>
    <w:rsid w:val="002870FD"/>
    <w:rsid w:val="002B68EC"/>
    <w:rsid w:val="00313BA0"/>
    <w:rsid w:val="003372B0"/>
    <w:rsid w:val="0036401D"/>
    <w:rsid w:val="00390349"/>
    <w:rsid w:val="003B5AF8"/>
    <w:rsid w:val="003D1E38"/>
    <w:rsid w:val="003F2526"/>
    <w:rsid w:val="004169DE"/>
    <w:rsid w:val="004E04CB"/>
    <w:rsid w:val="00511369"/>
    <w:rsid w:val="005179E7"/>
    <w:rsid w:val="00522F57"/>
    <w:rsid w:val="005E4C97"/>
    <w:rsid w:val="005F5612"/>
    <w:rsid w:val="006155D3"/>
    <w:rsid w:val="00626805"/>
    <w:rsid w:val="00667483"/>
    <w:rsid w:val="00680803"/>
    <w:rsid w:val="007A4E5A"/>
    <w:rsid w:val="007A69C1"/>
    <w:rsid w:val="007C1876"/>
    <w:rsid w:val="007C44E0"/>
    <w:rsid w:val="007E29E9"/>
    <w:rsid w:val="0081207D"/>
    <w:rsid w:val="009D6582"/>
    <w:rsid w:val="00A934A0"/>
    <w:rsid w:val="00AA1DF2"/>
    <w:rsid w:val="00AC6A4D"/>
    <w:rsid w:val="00B62761"/>
    <w:rsid w:val="00B77C8F"/>
    <w:rsid w:val="00BE259D"/>
    <w:rsid w:val="00C554C0"/>
    <w:rsid w:val="00CF1FAC"/>
    <w:rsid w:val="00D118C3"/>
    <w:rsid w:val="00D343DC"/>
    <w:rsid w:val="00DB150C"/>
    <w:rsid w:val="00E56374"/>
    <w:rsid w:val="00EB78F4"/>
    <w:rsid w:val="00EE59C3"/>
    <w:rsid w:val="00EF2E99"/>
    <w:rsid w:val="00FA12E7"/>
    <w:rsid w:val="00FC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74"/>
    <w:pPr>
      <w:suppressAutoHyphens/>
      <w:spacing w:after="0" w:line="240" w:lineRule="auto"/>
    </w:pPr>
    <w:rPr>
      <w:rFonts w:ascii="Liberation Serif" w:eastAsia="NSimSun" w:hAnsi="Liberation Serif" w:cs="Arial"/>
      <w:kern w:val="2"/>
      <w:sz w:val="24"/>
      <w:szCs w:val="24"/>
      <w:lang w:val="uk-UA" w:eastAsia="zh-CN" w:bidi="hi-IN"/>
    </w:rPr>
  </w:style>
  <w:style w:type="paragraph" w:styleId="1">
    <w:name w:val="heading 1"/>
    <w:basedOn w:val="a"/>
    <w:link w:val="10"/>
    <w:uiPriority w:val="9"/>
    <w:qFormat/>
    <w:rsid w:val="004169DE"/>
    <w:pPr>
      <w:suppressAutoHyphens w:val="0"/>
      <w:spacing w:before="100" w:beforeAutospacing="1" w:after="100" w:afterAutospacing="1"/>
      <w:outlineLvl w:val="0"/>
    </w:pPr>
    <w:rPr>
      <w:rFonts w:ascii="Times New Roman" w:eastAsia="Times New Roman" w:hAnsi="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374"/>
    <w:pPr>
      <w:ind w:left="720"/>
      <w:contextualSpacing/>
    </w:pPr>
    <w:rPr>
      <w:rFonts w:cs="Mangal"/>
      <w:szCs w:val="21"/>
    </w:rPr>
  </w:style>
  <w:style w:type="paragraph" w:styleId="a4">
    <w:name w:val="header"/>
    <w:basedOn w:val="a"/>
    <w:link w:val="a5"/>
    <w:uiPriority w:val="99"/>
    <w:unhideWhenUsed/>
    <w:rsid w:val="00E56374"/>
    <w:pPr>
      <w:tabs>
        <w:tab w:val="center" w:pos="4677"/>
        <w:tab w:val="right" w:pos="9355"/>
      </w:tabs>
    </w:pPr>
    <w:rPr>
      <w:rFonts w:cs="Mangal"/>
      <w:szCs w:val="21"/>
    </w:rPr>
  </w:style>
  <w:style w:type="character" w:customStyle="1" w:styleId="a5">
    <w:name w:val="Верхний колонтитул Знак"/>
    <w:basedOn w:val="a0"/>
    <w:link w:val="a4"/>
    <w:uiPriority w:val="99"/>
    <w:rsid w:val="00E56374"/>
    <w:rPr>
      <w:rFonts w:ascii="Liberation Serif" w:eastAsia="NSimSun" w:hAnsi="Liberation Serif" w:cs="Mangal"/>
      <w:kern w:val="2"/>
      <w:sz w:val="24"/>
      <w:szCs w:val="21"/>
      <w:lang w:val="uk-UA" w:eastAsia="zh-CN" w:bidi="hi-IN"/>
    </w:rPr>
  </w:style>
  <w:style w:type="paragraph" w:customStyle="1" w:styleId="rvps2">
    <w:name w:val="rvps2"/>
    <w:basedOn w:val="a"/>
    <w:rsid w:val="00E56374"/>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markedcontent">
    <w:name w:val="markedcontent"/>
    <w:basedOn w:val="a0"/>
    <w:rsid w:val="00E56374"/>
  </w:style>
  <w:style w:type="character" w:customStyle="1" w:styleId="10">
    <w:name w:val="Заголовок 1 Знак"/>
    <w:basedOn w:val="a0"/>
    <w:link w:val="1"/>
    <w:uiPriority w:val="9"/>
    <w:rsid w:val="004169DE"/>
    <w:rPr>
      <w:rFonts w:ascii="Times New Roman" w:eastAsia="Times New Roman" w:hAnsi="Times New Roman" w:cs="Times New Roman"/>
      <w:b/>
      <w:bCs/>
      <w:kern w:val="36"/>
      <w:sz w:val="48"/>
      <w:szCs w:val="48"/>
      <w:lang w:eastAsia="ru-RU"/>
    </w:rPr>
  </w:style>
  <w:style w:type="character" w:customStyle="1" w:styleId="rvts9">
    <w:name w:val="rvts9"/>
    <w:basedOn w:val="a0"/>
    <w:rsid w:val="00DB150C"/>
  </w:style>
  <w:style w:type="paragraph" w:styleId="a6">
    <w:name w:val="Body Text Indent"/>
    <w:basedOn w:val="a"/>
    <w:link w:val="a7"/>
    <w:rsid w:val="006155D3"/>
    <w:pPr>
      <w:ind w:left="-567" w:firstLine="567"/>
    </w:pPr>
    <w:rPr>
      <w:rFonts w:ascii="Times New Roman" w:eastAsia="Times New Roman" w:hAnsi="Times New Roman" w:cs="Times New Roman"/>
      <w:kern w:val="0"/>
      <w:sz w:val="28"/>
      <w:szCs w:val="20"/>
      <w:lang w:val="ru-RU" w:bidi="ar-SA"/>
    </w:rPr>
  </w:style>
  <w:style w:type="character" w:customStyle="1" w:styleId="a7">
    <w:name w:val="Основной текст с отступом Знак"/>
    <w:basedOn w:val="a0"/>
    <w:link w:val="a6"/>
    <w:rsid w:val="006155D3"/>
    <w:rPr>
      <w:rFonts w:ascii="Times New Roman" w:eastAsia="Times New Roman" w:hAnsi="Times New Roman" w:cs="Times New Roman"/>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74"/>
    <w:pPr>
      <w:suppressAutoHyphens/>
      <w:spacing w:after="0" w:line="240" w:lineRule="auto"/>
    </w:pPr>
    <w:rPr>
      <w:rFonts w:ascii="Liberation Serif" w:eastAsia="NSimSun" w:hAnsi="Liberation Serif" w:cs="Arial"/>
      <w:kern w:val="2"/>
      <w:sz w:val="24"/>
      <w:szCs w:val="24"/>
      <w:lang w:val="uk-UA" w:eastAsia="zh-CN" w:bidi="hi-IN"/>
    </w:rPr>
  </w:style>
  <w:style w:type="paragraph" w:styleId="1">
    <w:name w:val="heading 1"/>
    <w:basedOn w:val="a"/>
    <w:link w:val="10"/>
    <w:uiPriority w:val="9"/>
    <w:qFormat/>
    <w:rsid w:val="004169DE"/>
    <w:pPr>
      <w:suppressAutoHyphens w:val="0"/>
      <w:spacing w:before="100" w:beforeAutospacing="1" w:after="100" w:afterAutospacing="1"/>
      <w:outlineLvl w:val="0"/>
    </w:pPr>
    <w:rPr>
      <w:rFonts w:ascii="Times New Roman" w:eastAsia="Times New Roman" w:hAnsi="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374"/>
    <w:pPr>
      <w:ind w:left="720"/>
      <w:contextualSpacing/>
    </w:pPr>
    <w:rPr>
      <w:rFonts w:cs="Mangal"/>
      <w:szCs w:val="21"/>
    </w:rPr>
  </w:style>
  <w:style w:type="paragraph" w:styleId="a4">
    <w:name w:val="header"/>
    <w:basedOn w:val="a"/>
    <w:link w:val="a5"/>
    <w:uiPriority w:val="99"/>
    <w:unhideWhenUsed/>
    <w:rsid w:val="00E56374"/>
    <w:pPr>
      <w:tabs>
        <w:tab w:val="center" w:pos="4677"/>
        <w:tab w:val="right" w:pos="9355"/>
      </w:tabs>
    </w:pPr>
    <w:rPr>
      <w:rFonts w:cs="Mangal"/>
      <w:szCs w:val="21"/>
    </w:rPr>
  </w:style>
  <w:style w:type="character" w:customStyle="1" w:styleId="a5">
    <w:name w:val="Верхний колонтитул Знак"/>
    <w:basedOn w:val="a0"/>
    <w:link w:val="a4"/>
    <w:uiPriority w:val="99"/>
    <w:rsid w:val="00E56374"/>
    <w:rPr>
      <w:rFonts w:ascii="Liberation Serif" w:eastAsia="NSimSun" w:hAnsi="Liberation Serif" w:cs="Mangal"/>
      <w:kern w:val="2"/>
      <w:sz w:val="24"/>
      <w:szCs w:val="21"/>
      <w:lang w:val="uk-UA" w:eastAsia="zh-CN" w:bidi="hi-IN"/>
    </w:rPr>
  </w:style>
  <w:style w:type="paragraph" w:customStyle="1" w:styleId="rvps2">
    <w:name w:val="rvps2"/>
    <w:basedOn w:val="a"/>
    <w:rsid w:val="00E56374"/>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markedcontent">
    <w:name w:val="markedcontent"/>
    <w:basedOn w:val="a0"/>
    <w:rsid w:val="00E56374"/>
  </w:style>
  <w:style w:type="character" w:customStyle="1" w:styleId="10">
    <w:name w:val="Заголовок 1 Знак"/>
    <w:basedOn w:val="a0"/>
    <w:link w:val="1"/>
    <w:uiPriority w:val="9"/>
    <w:rsid w:val="004169DE"/>
    <w:rPr>
      <w:rFonts w:ascii="Times New Roman" w:eastAsia="Times New Roman" w:hAnsi="Times New Roman" w:cs="Times New Roman"/>
      <w:b/>
      <w:bCs/>
      <w:kern w:val="36"/>
      <w:sz w:val="48"/>
      <w:szCs w:val="48"/>
      <w:lang w:eastAsia="ru-RU"/>
    </w:rPr>
  </w:style>
  <w:style w:type="character" w:customStyle="1" w:styleId="rvts9">
    <w:name w:val="rvts9"/>
    <w:basedOn w:val="a0"/>
    <w:rsid w:val="00DB150C"/>
  </w:style>
  <w:style w:type="paragraph" w:styleId="a6">
    <w:name w:val="Body Text Indent"/>
    <w:basedOn w:val="a"/>
    <w:link w:val="a7"/>
    <w:rsid w:val="006155D3"/>
    <w:pPr>
      <w:ind w:left="-567" w:firstLine="567"/>
    </w:pPr>
    <w:rPr>
      <w:rFonts w:ascii="Times New Roman" w:eastAsia="Times New Roman" w:hAnsi="Times New Roman" w:cs="Times New Roman"/>
      <w:kern w:val="0"/>
      <w:sz w:val="28"/>
      <w:szCs w:val="20"/>
      <w:lang w:val="ru-RU" w:bidi="ar-SA"/>
    </w:rPr>
  </w:style>
  <w:style w:type="character" w:customStyle="1" w:styleId="a7">
    <w:name w:val="Основной текст с отступом Знак"/>
    <w:basedOn w:val="a0"/>
    <w:link w:val="a6"/>
    <w:rsid w:val="006155D3"/>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07451">
      <w:bodyDiv w:val="1"/>
      <w:marLeft w:val="0"/>
      <w:marRight w:val="0"/>
      <w:marTop w:val="0"/>
      <w:marBottom w:val="0"/>
      <w:divBdr>
        <w:top w:val="none" w:sz="0" w:space="0" w:color="auto"/>
        <w:left w:val="none" w:sz="0" w:space="0" w:color="auto"/>
        <w:bottom w:val="none" w:sz="0" w:space="0" w:color="auto"/>
        <w:right w:val="none" w:sz="0" w:space="0" w:color="auto"/>
      </w:divBdr>
    </w:div>
    <w:div w:id="1243567601">
      <w:bodyDiv w:val="1"/>
      <w:marLeft w:val="0"/>
      <w:marRight w:val="0"/>
      <w:marTop w:val="0"/>
      <w:marBottom w:val="0"/>
      <w:divBdr>
        <w:top w:val="none" w:sz="0" w:space="0" w:color="auto"/>
        <w:left w:val="none" w:sz="0" w:space="0" w:color="auto"/>
        <w:bottom w:val="none" w:sz="0" w:space="0" w:color="auto"/>
        <w:right w:val="none" w:sz="0" w:space="0" w:color="auto"/>
      </w:divBdr>
    </w:div>
    <w:div w:id="1728721692">
      <w:bodyDiv w:val="1"/>
      <w:marLeft w:val="0"/>
      <w:marRight w:val="0"/>
      <w:marTop w:val="0"/>
      <w:marBottom w:val="0"/>
      <w:divBdr>
        <w:top w:val="none" w:sz="0" w:space="0" w:color="auto"/>
        <w:left w:val="none" w:sz="0" w:space="0" w:color="auto"/>
        <w:bottom w:val="none" w:sz="0" w:space="0" w:color="auto"/>
        <w:right w:val="none" w:sz="0" w:space="0" w:color="auto"/>
      </w:divBdr>
    </w:div>
    <w:div w:id="20332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7</Pages>
  <Words>1875</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Каліна Олександра Георгіївна</cp:lastModifiedBy>
  <cp:revision>50</cp:revision>
  <cp:lastPrinted>2022-09-07T06:34:00Z</cp:lastPrinted>
  <dcterms:created xsi:type="dcterms:W3CDTF">2022-09-06T07:33:00Z</dcterms:created>
  <dcterms:modified xsi:type="dcterms:W3CDTF">2022-11-08T07:19:00Z</dcterms:modified>
</cp:coreProperties>
</file>