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E6" w:rsidRPr="00B23CCE" w:rsidRDefault="007253E6" w:rsidP="00631A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b/>
          <w:sz w:val="28"/>
          <w:szCs w:val="28"/>
          <w:lang w:val="uk-UA"/>
        </w:rPr>
        <w:t>Аналіз регуляторного впливу</w:t>
      </w:r>
    </w:p>
    <w:p w:rsidR="00046AD4" w:rsidRPr="00B23CCE" w:rsidRDefault="007253E6" w:rsidP="00631A98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проєкту </w:t>
      </w:r>
      <w:r w:rsidRPr="00B23CC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Комісії з регулювання азартних ігор та лотерей </w:t>
      </w:r>
    </w:p>
    <w:p w:rsidR="007253E6" w:rsidRPr="00B23CCE" w:rsidRDefault="00EF7A9A" w:rsidP="00631A98">
      <w:pPr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«Про затвердження Порядку </w:t>
      </w:r>
      <w:r w:rsidR="00212668" w:rsidRPr="00B23CC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відшкодування фінансової шкоди внаслідок бездіяльності організатора азартних ігор</w:t>
      </w:r>
      <w:r w:rsidRPr="00B23CC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:rsidR="004A1A64" w:rsidRPr="00B23CCE" w:rsidRDefault="004A1A64" w:rsidP="00631A98">
      <w:pPr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253E6" w:rsidRPr="00B23CCE" w:rsidRDefault="007253E6" w:rsidP="007253E6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b/>
          <w:sz w:val="28"/>
          <w:szCs w:val="28"/>
          <w:lang w:val="uk-UA"/>
        </w:rPr>
        <w:t>1. Визначення проблеми</w:t>
      </w:r>
    </w:p>
    <w:p w:rsidR="00E67368" w:rsidRPr="00B23CCE" w:rsidRDefault="007253E6" w:rsidP="00E67368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Проєкт рішення Комісії з регулювання азартних ігор та лотерей </w:t>
      </w:r>
      <w:r w:rsidR="00631A98" w:rsidRPr="00B23CCE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Порядку </w:t>
      </w:r>
      <w:r w:rsidR="00584E75" w:rsidRPr="00B23CCE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відшкодування фінансової шкоди внаслідок бездіяльності організатора азартних ігор»</w:t>
      </w:r>
      <w:r w:rsidR="00584E75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73296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(далі – проєкт рішення) </w:t>
      </w: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розроблено на виконання </w:t>
      </w:r>
      <w:r w:rsidR="00280BA0"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вимог</w:t>
      </w: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Закону України «Про державне регулювання діяльності щодо організації та проведення азартних ігор» (далі – Закон).</w:t>
      </w:r>
    </w:p>
    <w:p w:rsidR="00C7375A" w:rsidRPr="00B23CCE" w:rsidRDefault="00C7375A" w:rsidP="00C73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Законом визначено, що метою державної політики у сфері організації та проведення азартних ігор є створення умов для зниження соціальних ризиків, пов’язаних з їх організацією та проведенням, забезпечення дотримання організаторами азартних ігор вимог законодавства. Досягнення цієї мети можливо лише за умови створення системи нормативно-правових актів, які б ефективно регулювали всі аспекти діяльності у сфері організації та проведення азартних ігор, встановлювали єдиний відкритий та чіткий механізм регулювання цієї сфери економіки. </w:t>
      </w:r>
    </w:p>
    <w:p w:rsidR="00955DB1" w:rsidRPr="00B23CCE" w:rsidRDefault="00A50F58" w:rsidP="0095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д</w:t>
      </w:r>
      <w:r w:rsidR="00791109"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ля зниження соціальних ризиків, пов’язаних з організацією та проведенням азартних ігор,</w:t>
      </w:r>
      <w:r w:rsidR="00955DB1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91109"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Законом визначено такі</w:t>
      </w:r>
      <w:r w:rsidR="00955DB1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принцип</w:t>
      </w:r>
      <w:r w:rsidR="00791109"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955DB1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державної політики у сфері організації та проведення азартних ігор </w:t>
      </w:r>
      <w:bookmarkStart w:id="0" w:name="n104"/>
      <w:bookmarkEnd w:id="0"/>
      <w:r w:rsidR="00791109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 </w:t>
      </w:r>
      <w:r w:rsidR="00955DB1"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захист прав, законних інтере</w:t>
      </w:r>
      <w:r w:rsidR="00120D7D">
        <w:rPr>
          <w:rFonts w:ascii="Times New Roman" w:hAnsi="Times New Roman" w:cs="Times New Roman"/>
          <w:sz w:val="28"/>
          <w:szCs w:val="28"/>
          <w:lang w:val="uk-UA" w:eastAsia="uk-UA"/>
        </w:rPr>
        <w:t>сів, життя та здоров’я громадян,</w:t>
      </w:r>
      <w:r w:rsidR="00955DB1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1" w:name="n105"/>
      <w:bookmarkStart w:id="2" w:name="n106"/>
      <w:bookmarkEnd w:id="1"/>
      <w:bookmarkEnd w:id="2"/>
      <w:r w:rsidR="00955DB1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забезпечення принципу відповідальної гри; </w:t>
      </w:r>
      <w:bookmarkStart w:id="3" w:name="n107"/>
      <w:bookmarkEnd w:id="3"/>
      <w:r w:rsidR="00955DB1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забезпечення дотримання принципів прозорості, стабільності, відкритості, рівності, справедливості та об’єктивності під час проведення азартних ігор; </w:t>
      </w:r>
      <w:bookmarkStart w:id="4" w:name="n108"/>
      <w:bookmarkStart w:id="5" w:name="n112"/>
      <w:bookmarkEnd w:id="4"/>
      <w:bookmarkEnd w:id="5"/>
      <w:r w:rsidR="00955DB1"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боротьба з ігровою залежністю (лудоманією).</w:t>
      </w:r>
    </w:p>
    <w:p w:rsidR="00584E75" w:rsidRPr="00B23CCE" w:rsidRDefault="00584E75" w:rsidP="0095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Абзацом другим пункту 3 частини другої статті 16 Закону, яка визначає вимоги щодо боротьби з ігровою залежністю (лудоманією), встановлено, що організатор азартних ігор, який не забезпечив неможливість участі в азартних іграх осіб, участь яких в таких іграх заборонена цим та іншими законами, зобов’язаний відшкодувати таким особам на їх вимогу або на вимогу членів сім’ї таких осіб фінансову шкоду в розмірі десятикратного розміру програшу, що заподіяна зазначеним особам внаслідок такої бездіяльності організатора азартних ігор. Порядок відшкодування встановлюється </w:t>
      </w:r>
      <w:r w:rsidR="00E136C9"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КРАІЛ</w:t>
      </w: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439CB" w:rsidRPr="00B23CCE" w:rsidRDefault="00062BE4" w:rsidP="00143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Відповідно до </w:t>
      </w:r>
      <w:r w:rsidR="00E136C9"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вимог</w:t>
      </w: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частини першої статті 15 Закону організатор азартних ігор зобов’язаний</w:t>
      </w:r>
      <w:r w:rsidR="001439CB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вживати заходів для:</w:t>
      </w:r>
    </w:p>
    <w:p w:rsidR="00E136C9" w:rsidRPr="00B23CCE" w:rsidRDefault="00062BE4" w:rsidP="00120D7D">
      <w:pPr>
        <w:pStyle w:val="a8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недопущення до гральних закладів та до участі в азартних іграх осіб, які не досягли 21-річного віку, та осіб, стосовно яких наявні обмеження згідно з цим Законом; </w:t>
      </w:r>
    </w:p>
    <w:p w:rsidR="001439CB" w:rsidRPr="00B23CCE" w:rsidRDefault="001439CB" w:rsidP="00120D7D">
      <w:pPr>
        <w:pStyle w:val="a8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недопущення виплати (видачі) виграшу (призу) або його еквіваленту, повернення ставок будь-яким третім особам, у тому числі особам, на користь яких гравець пропонує здійснити виплату або повернення (крім випадків звернення щодо повернення ставок, зроблених неповнолітньою, </w:t>
      </w: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недієздатною особою або особою, цивільна дієздатність якої обмежена, або особою, внесеною до Реєстру осіб, яким обмежено доступ до гральних закладів та/або участь в азартних іграх, якщо особа, яка звертається за поверненням ставки, є законним представником такої особи).</w:t>
      </w:r>
    </w:p>
    <w:p w:rsidR="00062BE4" w:rsidRPr="00B23CCE" w:rsidRDefault="00062BE4" w:rsidP="00143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частини шостої статті 16 Закону обмеження участі особи в азартних іграх здійснюється шляхом внесення до Реєстру осіб, яким обмежено доступ до гральних закладів та/або участь в азартних іграх. </w:t>
      </w:r>
    </w:p>
    <w:p w:rsidR="00B74BA3" w:rsidRPr="00B74BA3" w:rsidRDefault="00B74BA3" w:rsidP="00B7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Організатори азартних ігор відповідно до вимог пункту 17 частини першої статті 15 Закону зобов’язані вживати заходів для недопущення до гральних закладів та до участі в азартних іграх осіб, які не досягли 21-річного віку, та осіб, стосовно яких наявні обмеження згідно із Законом.</w:t>
      </w:r>
    </w:p>
    <w:p w:rsidR="00B74BA3" w:rsidRPr="00B74BA3" w:rsidRDefault="00B74BA3" w:rsidP="00B7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цією метою згідно з вимогами статті 17 Закону організатори азартних ігор проводять ідентифікацію (верифікацію, встановлення даних) гравця або відвідувача, яка передбачає збір інформації про:</w:t>
      </w:r>
    </w:p>
    <w:p w:rsidR="00B74BA3" w:rsidRPr="00B74BA3" w:rsidRDefault="00B74BA3" w:rsidP="00B74BA3">
      <w:pPr>
        <w:pStyle w:val="a8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прізвище, ім’я, по батькові (за наявності) особи;</w:t>
      </w:r>
    </w:p>
    <w:p w:rsidR="00B74BA3" w:rsidRPr="00B74BA3" w:rsidRDefault="00B74BA3" w:rsidP="00B74BA3">
      <w:pPr>
        <w:pStyle w:val="a8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 (дату народження) особи;</w:t>
      </w:r>
    </w:p>
    <w:p w:rsidR="00B74BA3" w:rsidRPr="00B74BA3" w:rsidRDefault="00B74BA3" w:rsidP="00B74BA3">
      <w:pPr>
        <w:pStyle w:val="a8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наявність або відсутність особи в Реєстрі осіб, яким обмежено доступ до гральних закладів та/або участь в азартних іграх.</w:t>
      </w:r>
    </w:p>
    <w:p w:rsidR="00D1607F" w:rsidRPr="00B23CCE" w:rsidRDefault="00D1607F" w:rsidP="00D16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з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даними КРАІЛ,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Реєстр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осіб, яким обмежено доступ до гральних закладів та/або участь в азартних іграх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станом на 01.08.2022 міститься 271 діючий (актуальний) запис.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C1763" w:rsidRPr="00B23CCE" w:rsidRDefault="00AC1763" w:rsidP="00AC1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/>
        </w:rPr>
        <w:t>Проєктом рішення визначається механізм відшкодування фінансової шкоди організаторами азартних ігор, які не забезпечили неможливість участі в азар</w:t>
      </w:r>
      <w:r w:rsidR="00145285" w:rsidRPr="00B23CC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B23CCE">
        <w:rPr>
          <w:rFonts w:ascii="Times New Roman" w:hAnsi="Times New Roman" w:cs="Times New Roman"/>
          <w:sz w:val="28"/>
          <w:szCs w:val="28"/>
          <w:lang w:val="uk-UA"/>
        </w:rPr>
        <w:t>них іграх осіб, участь яких в азартній грі заборонена Законом та іншими законами, а саме:</w:t>
      </w:r>
    </w:p>
    <w:p w:rsidR="00AC1763" w:rsidRPr="00B23CCE" w:rsidRDefault="00AC1763" w:rsidP="0064271A">
      <w:pPr>
        <w:pStyle w:val="a8"/>
        <w:numPr>
          <w:ilvl w:val="0"/>
          <w:numId w:val="22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/>
        </w:rPr>
        <w:t>осіб, які не досягли 21-річного віку;</w:t>
      </w:r>
    </w:p>
    <w:p w:rsidR="00AC1763" w:rsidRPr="00B23CCE" w:rsidRDefault="00AC1763" w:rsidP="00120D7D">
      <w:pPr>
        <w:pStyle w:val="a8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/>
        </w:rPr>
        <w:t>осіб, відомості щодо яких внесено до Реєстру осіб, яким обмежено доступ до гральних закладів та/або участь в азартних іграх.</w:t>
      </w:r>
    </w:p>
    <w:p w:rsidR="0065215F" w:rsidRPr="00B23CCE" w:rsidRDefault="0065215F" w:rsidP="0065215F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Досвід у сфері організації та проведення азартних ігор в інших країнах засвідчив важливість</w:t>
      </w:r>
      <w:r w:rsidR="001439CB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наявності механізму відповідальності </w:t>
      </w: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організаторів азартних ігор за допуск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участі в азартних іграх таких категорій осіб. </w:t>
      </w:r>
    </w:p>
    <w:p w:rsidR="00120D7D" w:rsidRDefault="003016CB" w:rsidP="003016CB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Дослідження, проведені в інших країнах, </w:t>
      </w:r>
      <w:r w:rsidR="003E552D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свідчать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="003E552D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саме </w:t>
      </w:r>
      <w:r w:rsidR="003E552D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особи, які не досягли 21-річного віку, є найбільш вразливою категорією </w:t>
      </w:r>
      <w:r w:rsidR="003E552D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більшою ймовірністю стикаються із залежністю від лудоманії у зрілому віці, ніж такі, що у підлітковому віці не грали. </w:t>
      </w:r>
    </w:p>
    <w:p w:rsidR="003E552D" w:rsidRPr="00B23CCE" w:rsidRDefault="003E552D" w:rsidP="003016CB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даними міжнародних експертів, проведені дослідження особливостей гри серед підліткової популяції в 10 000 чоловік віком 12-13 років з 114 шкіл в Англії та Уельсі показали, що підлітки грають практично в ті ж ігри, що й дорослі, а за даними австралійських дослідників, 5 % підлітків можуть бути віднесені до проблемних гравців. </w:t>
      </w:r>
    </w:p>
    <w:p w:rsidR="008354C3" w:rsidRPr="00B23CCE" w:rsidRDefault="008354C3" w:rsidP="00847DBA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даними Національної служби з лікування лудоманії Британії, протягом 2019 року лікування в країні пройшли 9008 осіб</w:t>
      </w:r>
      <w:r w:rsidR="001439CB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39CB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яких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45 % мали борг 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понад 5000 тис фунтів, були банкрутами або підписали договір про реструктуризацію боргу. В середньому протягом місяця до лікування вони витрачали понад 2 тис фунтів на ставки, 25 % втратили сім’ю, а 12 % втратили роботу через проблеми з азартними іграми.</w:t>
      </w:r>
      <w:r w:rsidR="00847DBA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 цьому, 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більшість проблемних гравців шукає допомоги лише тоді, коли вони вже заподіяли значної </w:t>
      </w:r>
      <w:r w:rsidR="00847DBA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фінансової шкоди.</w:t>
      </w:r>
    </w:p>
    <w:p w:rsidR="0088027C" w:rsidRPr="00B23CCE" w:rsidRDefault="00116B6C" w:rsidP="00116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н</w:t>
      </w:r>
      <w:r w:rsidR="0088027C" w:rsidRPr="00B23C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еобхідність затвердження Порядку відшкодування фінансової шкоди внаслідок бездіяльності організатора азартних ігор обумовлена, передусім, його важливістю для мінімізації ризиків для 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88027C" w:rsidRPr="00B23C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гарантією захисту від </w:t>
      </w:r>
      <w:r w:rsidR="0088027C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організатора азартних ігор, який не дотримується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8027C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визначених законодавством </w:t>
      </w:r>
      <w:r w:rsidR="0088027C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8027C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тому числі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8027C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негативн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88027C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наслідків участі фізичної особи в азартній грі,</w:t>
      </w:r>
      <w:r w:rsidR="0088027C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невідкладного забезпечення вжиття реальних дієвих заходів відносно такого організатора азартних ігор</w:t>
      </w:r>
      <w:r w:rsidR="0088027C" w:rsidRPr="00B23CC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8027C" w:rsidRPr="00B23CCE" w:rsidRDefault="0088027C" w:rsidP="0088027C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викладене вище, виникла необхідність у розробленні проєкту рішення.</w:t>
      </w:r>
    </w:p>
    <w:p w:rsidR="0088027C" w:rsidRPr="00B23CCE" w:rsidRDefault="0088027C" w:rsidP="0088027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Дія регуляторного акта поширюватиметься на 49 організаторів азартних ігор, якими станом на 01.0</w:t>
      </w:r>
      <w:r w:rsidR="00B71C9D" w:rsidRPr="00B23CCE"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.2022 отримано ліцензії на організацію та проведення азартних ігор. З них:</w:t>
      </w:r>
    </w:p>
    <w:p w:rsidR="0088027C" w:rsidRPr="00B23CCE" w:rsidRDefault="0088027C" w:rsidP="0088027C">
      <w:pPr>
        <w:pStyle w:val="a8"/>
        <w:numPr>
          <w:ilvl w:val="0"/>
          <w:numId w:val="17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організацію та проведення азартних ігор у гральних закладах казино – 8; </w:t>
      </w:r>
    </w:p>
    <w:p w:rsidR="0088027C" w:rsidRPr="00B23CCE" w:rsidRDefault="0088027C" w:rsidP="0088027C">
      <w:pPr>
        <w:pStyle w:val="a8"/>
        <w:numPr>
          <w:ilvl w:val="0"/>
          <w:numId w:val="17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організацію та проведення азартних ігор казино в мережі Інтернет – 15; </w:t>
      </w:r>
    </w:p>
    <w:p w:rsidR="0088027C" w:rsidRPr="00B23CCE" w:rsidRDefault="0088027C" w:rsidP="0088027C">
      <w:pPr>
        <w:pStyle w:val="a8"/>
        <w:numPr>
          <w:ilvl w:val="0"/>
          <w:numId w:val="17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організацію та проведення букмекерської діяльності в букмекерських пунктах та в мережі Інтернет – 4; </w:t>
      </w:r>
    </w:p>
    <w:p w:rsidR="0088027C" w:rsidRPr="00B23CCE" w:rsidRDefault="0088027C" w:rsidP="0088027C">
      <w:pPr>
        <w:pStyle w:val="a8"/>
        <w:numPr>
          <w:ilvl w:val="0"/>
          <w:numId w:val="17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організацію та проведення азартних ігор у залах гральних автоматів – 19; </w:t>
      </w:r>
    </w:p>
    <w:p w:rsidR="0088027C" w:rsidRDefault="0088027C" w:rsidP="0088027C">
      <w:pPr>
        <w:pStyle w:val="a8"/>
        <w:numPr>
          <w:ilvl w:val="0"/>
          <w:numId w:val="17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на організацію та проведення азартних ігор в покер в мережі Інтернет – 3.</w:t>
      </w:r>
    </w:p>
    <w:p w:rsidR="00974B56" w:rsidRPr="00974B56" w:rsidRDefault="00974B56" w:rsidP="00974B56">
      <w:pPr>
        <w:pStyle w:val="a8"/>
        <w:spacing w:after="0" w:line="20" w:lineRule="atLeast"/>
        <w:ind w:left="709"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88027C" w:rsidRPr="00B23CCE" w:rsidRDefault="0088027C" w:rsidP="0088027C">
      <w:pPr>
        <w:pStyle w:val="rvps2"/>
        <w:shd w:val="clear" w:color="auto" w:fill="FFFFFF"/>
        <w:tabs>
          <w:tab w:val="left" w:pos="5790"/>
        </w:tabs>
        <w:spacing w:before="0" w:after="0" w:line="20" w:lineRule="atLeast"/>
        <w:ind w:firstLine="450"/>
        <w:contextualSpacing/>
        <w:jc w:val="both"/>
        <w:rPr>
          <w:sz w:val="28"/>
          <w:szCs w:val="28"/>
          <w:lang w:eastAsia="ru-RU"/>
        </w:rPr>
      </w:pPr>
      <w:r w:rsidRPr="00B23CCE">
        <w:rPr>
          <w:sz w:val="28"/>
          <w:szCs w:val="28"/>
          <w:lang w:eastAsia="ru-RU"/>
        </w:rPr>
        <w:t xml:space="preserve">Основні групи, на які справлятиме вплив проєкт рішення: </w:t>
      </w:r>
    </w:p>
    <w:p w:rsidR="0088027C" w:rsidRPr="00B23CCE" w:rsidRDefault="0088027C" w:rsidP="0088027C">
      <w:pPr>
        <w:pStyle w:val="rvps2"/>
        <w:shd w:val="clear" w:color="auto" w:fill="FFFFFF"/>
        <w:tabs>
          <w:tab w:val="left" w:pos="5790"/>
        </w:tabs>
        <w:spacing w:before="0" w:after="0" w:line="20" w:lineRule="atLeast"/>
        <w:ind w:firstLine="450"/>
        <w:contextualSpacing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2"/>
        <w:gridCol w:w="2833"/>
        <w:gridCol w:w="2443"/>
      </w:tblGrid>
      <w:tr w:rsidR="0088027C" w:rsidRPr="00B23CCE" w:rsidTr="008354C3">
        <w:tc>
          <w:tcPr>
            <w:tcW w:w="4580" w:type="dxa"/>
            <w:shd w:val="clear" w:color="auto" w:fill="auto"/>
          </w:tcPr>
          <w:p w:rsidR="0088027C" w:rsidRPr="00B23CCE" w:rsidRDefault="0088027C" w:rsidP="008354C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6" w:name="n95"/>
            <w:bookmarkEnd w:id="6"/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Групи (підгрупи)</w:t>
            </w:r>
          </w:p>
        </w:tc>
        <w:tc>
          <w:tcPr>
            <w:tcW w:w="2953" w:type="dxa"/>
            <w:shd w:val="clear" w:color="auto" w:fill="auto"/>
          </w:tcPr>
          <w:p w:rsidR="0088027C" w:rsidRPr="00B23CCE" w:rsidRDefault="0088027C" w:rsidP="008354C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2547" w:type="dxa"/>
            <w:shd w:val="clear" w:color="auto" w:fill="auto"/>
          </w:tcPr>
          <w:p w:rsidR="0088027C" w:rsidRPr="00B23CCE" w:rsidRDefault="0088027C" w:rsidP="008354C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Ні</w:t>
            </w:r>
          </w:p>
        </w:tc>
      </w:tr>
      <w:tr w:rsidR="0088027C" w:rsidRPr="00B23CCE" w:rsidTr="008354C3">
        <w:tc>
          <w:tcPr>
            <w:tcW w:w="4580" w:type="dxa"/>
            <w:shd w:val="clear" w:color="auto" w:fill="auto"/>
          </w:tcPr>
          <w:p w:rsidR="0088027C" w:rsidRPr="00B23CCE" w:rsidRDefault="0088027C" w:rsidP="008354C3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Громадяни</w:t>
            </w:r>
          </w:p>
        </w:tc>
        <w:tc>
          <w:tcPr>
            <w:tcW w:w="2953" w:type="dxa"/>
            <w:shd w:val="clear" w:color="auto" w:fill="auto"/>
          </w:tcPr>
          <w:p w:rsidR="0088027C" w:rsidRPr="00B23CCE" w:rsidRDefault="0088027C" w:rsidP="008354C3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47" w:type="dxa"/>
            <w:shd w:val="clear" w:color="auto" w:fill="auto"/>
          </w:tcPr>
          <w:p w:rsidR="0088027C" w:rsidRPr="00B23CCE" w:rsidRDefault="0088027C" w:rsidP="008354C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027C" w:rsidRPr="00B23CCE" w:rsidTr="008354C3">
        <w:tc>
          <w:tcPr>
            <w:tcW w:w="4580" w:type="dxa"/>
            <w:shd w:val="clear" w:color="auto" w:fill="auto"/>
          </w:tcPr>
          <w:p w:rsidR="0088027C" w:rsidRPr="00B23CCE" w:rsidRDefault="0088027C" w:rsidP="008354C3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Держава</w:t>
            </w:r>
          </w:p>
        </w:tc>
        <w:tc>
          <w:tcPr>
            <w:tcW w:w="2953" w:type="dxa"/>
            <w:shd w:val="clear" w:color="auto" w:fill="auto"/>
          </w:tcPr>
          <w:p w:rsidR="0088027C" w:rsidRPr="00B23CCE" w:rsidRDefault="0088027C" w:rsidP="008354C3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47" w:type="dxa"/>
            <w:shd w:val="clear" w:color="auto" w:fill="auto"/>
          </w:tcPr>
          <w:p w:rsidR="0088027C" w:rsidRPr="00B23CCE" w:rsidRDefault="0088027C" w:rsidP="008354C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027C" w:rsidRPr="00B23CCE" w:rsidTr="008354C3">
        <w:trPr>
          <w:trHeight w:val="184"/>
        </w:trPr>
        <w:tc>
          <w:tcPr>
            <w:tcW w:w="4580" w:type="dxa"/>
            <w:shd w:val="clear" w:color="auto" w:fill="auto"/>
          </w:tcPr>
          <w:p w:rsidR="0088027C" w:rsidRPr="00B23CCE" w:rsidRDefault="0088027C" w:rsidP="008354C3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Суб’єкти господарювання</w:t>
            </w:r>
          </w:p>
        </w:tc>
        <w:tc>
          <w:tcPr>
            <w:tcW w:w="2953" w:type="dxa"/>
            <w:shd w:val="clear" w:color="auto" w:fill="auto"/>
          </w:tcPr>
          <w:p w:rsidR="0088027C" w:rsidRPr="00B23CCE" w:rsidRDefault="0088027C" w:rsidP="008354C3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47" w:type="dxa"/>
            <w:shd w:val="clear" w:color="auto" w:fill="auto"/>
          </w:tcPr>
          <w:p w:rsidR="0088027C" w:rsidRPr="00B23CCE" w:rsidRDefault="0088027C" w:rsidP="008354C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027C" w:rsidRPr="00B23CCE" w:rsidTr="008354C3">
        <w:tc>
          <w:tcPr>
            <w:tcW w:w="4580" w:type="dxa"/>
            <w:shd w:val="clear" w:color="auto" w:fill="auto"/>
          </w:tcPr>
          <w:p w:rsidR="0088027C" w:rsidRPr="00B23CCE" w:rsidRDefault="0088027C" w:rsidP="008354C3">
            <w:pPr>
              <w:spacing w:after="0" w:line="20" w:lineRule="atLeast"/>
              <w:ind w:left="142" w:right="1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7" w:name="n96"/>
            <w:bookmarkEnd w:id="7"/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тому числі суб’єкти малого підприємництва </w:t>
            </w:r>
          </w:p>
        </w:tc>
        <w:tc>
          <w:tcPr>
            <w:tcW w:w="2953" w:type="dxa"/>
            <w:shd w:val="clear" w:color="auto" w:fill="auto"/>
          </w:tcPr>
          <w:p w:rsidR="0088027C" w:rsidRPr="00B23CCE" w:rsidRDefault="0088027C" w:rsidP="008354C3">
            <w:pPr>
              <w:tabs>
                <w:tab w:val="center" w:pos="368"/>
              </w:tabs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7" w:type="dxa"/>
            <w:shd w:val="clear" w:color="auto" w:fill="auto"/>
          </w:tcPr>
          <w:p w:rsidR="0088027C" w:rsidRPr="00B23CCE" w:rsidRDefault="0088027C" w:rsidP="008354C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8027C" w:rsidRPr="00B23CCE" w:rsidRDefault="0088027C" w:rsidP="0088027C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8A396D" w:rsidRPr="00B23CCE" w:rsidRDefault="0088027C" w:rsidP="008A396D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/>
        </w:rPr>
        <w:t xml:space="preserve">Проблема не може бути розв’язана за допомогою ринкових механізмів, оскільки відповідно до положень Закону </w:t>
      </w:r>
      <w:r w:rsidR="00974B56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КРАІЛ </w:t>
      </w:r>
      <w:r w:rsidR="00974B5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уповноважена на затвердження </w:t>
      </w:r>
      <w:r w:rsidR="00974B56"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поряд</w:t>
      </w:r>
      <w:r w:rsidR="00974B56">
        <w:rPr>
          <w:rFonts w:ascii="Times New Roman" w:hAnsi="Times New Roman" w:cs="Times New Roman"/>
          <w:sz w:val="28"/>
          <w:szCs w:val="28"/>
          <w:lang w:val="uk-UA" w:eastAsia="uk-UA"/>
        </w:rPr>
        <w:t>ку</w:t>
      </w:r>
      <w:r w:rsidR="00974B56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відшкодування </w:t>
      </w:r>
      <w:r w:rsidR="008A396D"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організатор</w:t>
      </w:r>
      <w:r w:rsidR="00974B56">
        <w:rPr>
          <w:rFonts w:ascii="Times New Roman" w:hAnsi="Times New Roman" w:cs="Times New Roman"/>
          <w:sz w:val="28"/>
          <w:szCs w:val="28"/>
          <w:lang w:val="uk-UA" w:eastAsia="uk-UA"/>
        </w:rPr>
        <w:t>ом</w:t>
      </w:r>
      <w:r w:rsidR="008A396D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азартних ігор, який не забезпечив неможливість участі в азартних іграх осіб, участь яких в таких іграх заборонена цим та іншими законами, таким особам на їх вимогу або на вимогу членів сім’ї </w:t>
      </w:r>
      <w:r w:rsidR="008A396D" w:rsidRPr="00B23CCE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таких осіб фінансов</w:t>
      </w:r>
      <w:r w:rsidR="00974B56">
        <w:rPr>
          <w:rFonts w:ascii="Times New Roman" w:hAnsi="Times New Roman" w:cs="Times New Roman"/>
          <w:sz w:val="28"/>
          <w:szCs w:val="28"/>
          <w:lang w:val="uk-UA" w:eastAsia="uk-UA"/>
        </w:rPr>
        <w:t>ої</w:t>
      </w:r>
      <w:r w:rsidR="008A396D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шкод</w:t>
      </w:r>
      <w:r w:rsidR="00974B56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8A396D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розмірі десятикратного розміру програшу, що заподіяна зазначеним особам.</w:t>
      </w:r>
    </w:p>
    <w:p w:rsidR="0088027C" w:rsidRPr="00B23CCE" w:rsidRDefault="0088027C" w:rsidP="0088027C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Діючі нормативно-правові акти, які встановлюють</w:t>
      </w:r>
      <w:r w:rsidR="008A396D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порядок відшкодування фінансової шкоди </w:t>
      </w:r>
      <w:r w:rsidR="008A396D" w:rsidRPr="00B23CCE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внаслідок бездіяльності організатора азартних ігор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відсутні.</w:t>
      </w:r>
    </w:p>
    <w:p w:rsidR="008F1FB0" w:rsidRPr="00B23CCE" w:rsidRDefault="008F1FB0" w:rsidP="008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53E6" w:rsidRPr="00B23CCE" w:rsidRDefault="007253E6" w:rsidP="007253E6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II. Цілі державного регулювання</w:t>
      </w:r>
    </w:p>
    <w:p w:rsidR="007253E6" w:rsidRPr="00B23CCE" w:rsidRDefault="007253E6" w:rsidP="007253E6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n101"/>
      <w:bookmarkStart w:id="9" w:name="n100"/>
      <w:bookmarkEnd w:id="8"/>
      <w:bookmarkEnd w:id="9"/>
      <w:r w:rsidRPr="00B23CCE">
        <w:rPr>
          <w:rFonts w:ascii="Times New Roman" w:hAnsi="Times New Roman" w:cs="Times New Roman"/>
          <w:sz w:val="28"/>
          <w:szCs w:val="28"/>
          <w:lang w:val="uk-UA"/>
        </w:rPr>
        <w:t xml:space="preserve">Цілями державного регулювання проєкту </w:t>
      </w:r>
      <w:r w:rsidR="00155C5C" w:rsidRPr="00B23CCE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B23CCE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EF30A9" w:rsidRPr="00B23CCE" w:rsidRDefault="00642749" w:rsidP="004C1790">
      <w:pPr>
        <w:pStyle w:val="a8"/>
        <w:numPr>
          <w:ilvl w:val="0"/>
          <w:numId w:val="13"/>
        </w:num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</w:t>
      </w:r>
      <w:r w:rsidR="007253E6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 організаторами аз</w:t>
      </w:r>
      <w:r w:rsidR="00523DD9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артних ігор вимог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</w:t>
      </w:r>
      <w:r w:rsidR="00036819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 w:rsidR="00960C6D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недопущення до участі в азартній грі осіб, яким така участь заборонена Законом</w:t>
      </w:r>
      <w:r w:rsidR="00DE1589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іншими законами</w:t>
      </w:r>
      <w:r w:rsidR="00DC1801" w:rsidRPr="00B23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80D26" w:rsidRPr="00B23CCE" w:rsidRDefault="00B80D26" w:rsidP="00B80D26">
      <w:pPr>
        <w:pStyle w:val="2"/>
        <w:numPr>
          <w:ilvl w:val="0"/>
          <w:numId w:val="13"/>
        </w:num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font347"/>
          <w:kern w:val="0"/>
          <w:sz w:val="28"/>
          <w:szCs w:val="28"/>
          <w:lang w:eastAsia="ru-RU" w:bidi="ar-SA"/>
        </w:rPr>
      </w:pPr>
      <w:bookmarkStart w:id="10" w:name="n1977"/>
      <w:bookmarkStart w:id="11" w:name="n1978"/>
      <w:bookmarkEnd w:id="10"/>
      <w:bookmarkEnd w:id="11"/>
      <w:r w:rsidRPr="00B23CCE">
        <w:rPr>
          <w:rFonts w:ascii="Times New Roman" w:eastAsia="Calibri" w:hAnsi="Times New Roman" w:cs="font347"/>
          <w:kern w:val="0"/>
          <w:sz w:val="28"/>
          <w:szCs w:val="28"/>
          <w:lang w:eastAsia="ru-RU" w:bidi="ar-SA"/>
        </w:rPr>
        <w:t xml:space="preserve">визначення механізму </w:t>
      </w:r>
      <w:r w:rsidR="00DE1589" w:rsidRPr="00B23CCE">
        <w:rPr>
          <w:rFonts w:ascii="Times New Roman" w:hAnsi="Times New Roman" w:cs="Times New Roman"/>
          <w:sz w:val="28"/>
          <w:szCs w:val="28"/>
        </w:rPr>
        <w:t>відшкодування фінансової шкоди організаторами азартних ігор, які не забезпечили неможливість участі в азартних іграх осіб, участь яких в азартній грі заборонена Законом та іншими законами;</w:t>
      </w:r>
    </w:p>
    <w:p w:rsidR="00DC1801" w:rsidRPr="00B23CCE" w:rsidRDefault="00DC1801" w:rsidP="00DC1801">
      <w:pPr>
        <w:pStyle w:val="a8"/>
        <w:numPr>
          <w:ilvl w:val="0"/>
          <w:numId w:val="13"/>
        </w:num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/>
          <w:sz w:val="28"/>
          <w:szCs w:val="28"/>
          <w:lang w:val="uk-UA" w:eastAsia="ru-RU"/>
        </w:rPr>
        <w:t>мінімізація негативних наслідків участі фізичної особи в азартній грі, створення умов для зниження соціальних ризиків, пов’язаних з організацією та проведенням азартних ігор</w:t>
      </w:r>
      <w:r w:rsidR="008F032C" w:rsidRPr="00B23CC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F032C" w:rsidRPr="00B23CCE" w:rsidRDefault="008F032C" w:rsidP="008F032C">
      <w:pPr>
        <w:pStyle w:val="a8"/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3E6" w:rsidRPr="00B23CCE" w:rsidRDefault="007253E6" w:rsidP="007253E6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III. Визначення та оцінка альтернативних способів досягнення цілей</w:t>
      </w:r>
      <w:bookmarkStart w:id="12" w:name="n151"/>
      <w:bookmarkStart w:id="13" w:name="n102"/>
      <w:bookmarkEnd w:id="12"/>
      <w:bookmarkEnd w:id="13"/>
    </w:p>
    <w:p w:rsidR="007253E6" w:rsidRPr="00B23CCE" w:rsidRDefault="007253E6" w:rsidP="007253E6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sz w:val="12"/>
          <w:szCs w:val="12"/>
        </w:rPr>
      </w:pPr>
      <w:r w:rsidRPr="00B23CCE">
        <w:rPr>
          <w:sz w:val="28"/>
          <w:szCs w:val="28"/>
          <w:lang w:eastAsia="ru-RU"/>
        </w:rPr>
        <w:t xml:space="preserve"> </w:t>
      </w:r>
    </w:p>
    <w:tbl>
      <w:tblPr>
        <w:tblW w:w="499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7"/>
        <w:gridCol w:w="7087"/>
      </w:tblGrid>
      <w:tr w:rsidR="007253E6" w:rsidRPr="00B23CCE" w:rsidTr="00C42DC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CE" w:rsidRPr="00B23CCE" w:rsidRDefault="007253E6" w:rsidP="00C42DCE">
            <w:pPr>
              <w:spacing w:after="0" w:line="20" w:lineRule="atLeast"/>
              <w:ind w:right="1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Вид </w:t>
            </w:r>
          </w:p>
          <w:p w:rsidR="007253E6" w:rsidRPr="00B23CCE" w:rsidRDefault="007253E6" w:rsidP="00C42DCE">
            <w:pPr>
              <w:spacing w:after="0" w:line="20" w:lineRule="atLeast"/>
              <w:ind w:right="1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альтернативи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E6" w:rsidRPr="00B23CCE" w:rsidRDefault="007253E6" w:rsidP="00623B3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Опис альтернативи</w:t>
            </w:r>
          </w:p>
        </w:tc>
      </w:tr>
      <w:tr w:rsidR="007253E6" w:rsidRPr="00530123" w:rsidTr="00C42DC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E6" w:rsidRPr="00B23CCE" w:rsidRDefault="007253E6" w:rsidP="00C42DCE">
            <w:pPr>
              <w:spacing w:after="0" w:line="20" w:lineRule="atLeast"/>
              <w:ind w:left="142" w:right="1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Альтернатива 1</w:t>
            </w:r>
          </w:p>
          <w:p w:rsidR="007253E6" w:rsidRPr="00B23CCE" w:rsidRDefault="007253E6" w:rsidP="00C42DCE">
            <w:pPr>
              <w:spacing w:after="0" w:line="20" w:lineRule="atLeast"/>
              <w:ind w:left="142" w:right="1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E6" w:rsidRPr="00B23CCE" w:rsidRDefault="007253E6" w:rsidP="006B054C">
            <w:pPr>
              <w:spacing w:after="0" w:line="20" w:lineRule="atLeast"/>
              <w:ind w:left="127" w:right="157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Залишення ситуації без змін.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439CB" w:rsidRPr="00B23CCE" w:rsidRDefault="001439CB" w:rsidP="00CE50E7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Відповідно до вимог частини першої статті 15 Закону організатор азартних ігор зобов’язаний вживати заходів для недопущення до гральних закладів та до участі в азартних іграх осіб, які не досягли 21-річного віку, та осіб, стосовно яких наявні обмеження згідно з цим Законом; виконувати інші обов’язки, передбачені цим Законом та іншими актами законодавства про азартні ігри. </w:t>
            </w:r>
          </w:p>
          <w:p w:rsidR="007253E6" w:rsidRPr="00B23CCE" w:rsidRDefault="007253E6" w:rsidP="00867535">
            <w:pPr>
              <w:pStyle w:val="tj"/>
              <w:shd w:val="clear" w:color="auto" w:fill="FFFFFF"/>
              <w:spacing w:before="0" w:after="0" w:line="20" w:lineRule="atLeast"/>
              <w:ind w:left="127" w:right="157" w:firstLine="28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23CCE">
              <w:rPr>
                <w:sz w:val="28"/>
                <w:szCs w:val="28"/>
                <w:lang w:val="uk-UA"/>
              </w:rPr>
              <w:t xml:space="preserve">Відсутність нормативно-правового акта, який визначає </w:t>
            </w:r>
            <w:r w:rsidR="00867535" w:rsidRPr="00B23CCE">
              <w:rPr>
                <w:rFonts w:eastAsia="Calibri" w:cs="font347"/>
                <w:sz w:val="28"/>
                <w:szCs w:val="28"/>
                <w:lang w:val="uk-UA"/>
              </w:rPr>
              <w:t xml:space="preserve">механізм </w:t>
            </w:r>
            <w:r w:rsidR="00867535" w:rsidRPr="00B23CCE">
              <w:rPr>
                <w:sz w:val="28"/>
                <w:szCs w:val="28"/>
                <w:lang w:val="uk-UA"/>
              </w:rPr>
              <w:t>відшкодування фінансової шкоди організаторами азартних ігор, які не забезпечили неможливість участі в азартних іграх осіб, участь яких в азартній грі заборонена Законом та іншими законами</w:t>
            </w:r>
            <w:r w:rsidR="006B054C" w:rsidRPr="00B23CCE">
              <w:rPr>
                <w:sz w:val="28"/>
                <w:szCs w:val="28"/>
                <w:lang w:val="uk-UA"/>
              </w:rPr>
              <w:t>,</w:t>
            </w:r>
            <w:r w:rsidR="004C1790" w:rsidRPr="00B23CCE">
              <w:rPr>
                <w:sz w:val="28"/>
                <w:szCs w:val="28"/>
                <w:lang w:val="uk-UA" w:eastAsia="uk-UA"/>
              </w:rPr>
              <w:t xml:space="preserve"> </w:t>
            </w:r>
            <w:r w:rsidRPr="00B23CCE">
              <w:rPr>
                <w:sz w:val="28"/>
                <w:szCs w:val="28"/>
                <w:lang w:val="uk-UA"/>
              </w:rPr>
              <w:t xml:space="preserve">унеможливлює </w:t>
            </w:r>
            <w:r w:rsidR="003D78B8" w:rsidRPr="00B23CCE">
              <w:rPr>
                <w:sz w:val="28"/>
                <w:szCs w:val="28"/>
                <w:lang w:val="uk-UA"/>
              </w:rPr>
              <w:t xml:space="preserve">дотримання такого принципу відповідальної гри як обмеження гравця в участі в азартних іграх, </w:t>
            </w:r>
            <w:r w:rsidR="004C1790" w:rsidRPr="00B23CCE">
              <w:rPr>
                <w:sz w:val="28"/>
                <w:szCs w:val="28"/>
                <w:lang w:val="uk-UA"/>
              </w:rPr>
              <w:t>що, в свою чергу, призв</w:t>
            </w:r>
            <w:r w:rsidR="006B054C" w:rsidRPr="00B23CCE">
              <w:rPr>
                <w:sz w:val="28"/>
                <w:szCs w:val="28"/>
                <w:lang w:val="uk-UA"/>
              </w:rPr>
              <w:t>одить</w:t>
            </w:r>
            <w:r w:rsidR="004C1790" w:rsidRPr="00B23CCE">
              <w:rPr>
                <w:sz w:val="28"/>
                <w:szCs w:val="28"/>
                <w:lang w:val="uk-UA"/>
              </w:rPr>
              <w:t xml:space="preserve"> до </w:t>
            </w:r>
            <w:r w:rsidR="004C1790" w:rsidRPr="00B23CCE">
              <w:rPr>
                <w:sz w:val="28"/>
                <w:szCs w:val="28"/>
                <w:lang w:val="uk-UA" w:eastAsia="uk-UA"/>
              </w:rPr>
              <w:t>не</w:t>
            </w:r>
            <w:r w:rsidR="004C1790" w:rsidRPr="00B23CCE">
              <w:rPr>
                <w:sz w:val="28"/>
                <w:szCs w:val="28"/>
                <w:lang w:val="uk-UA"/>
              </w:rPr>
              <w:t>захищеності населення від негативного впливу азартних ігор</w:t>
            </w:r>
            <w:r w:rsidR="00867535" w:rsidRPr="00B23CCE">
              <w:rPr>
                <w:sz w:val="28"/>
                <w:szCs w:val="28"/>
                <w:lang w:val="uk-UA"/>
              </w:rPr>
              <w:t>.</w:t>
            </w:r>
            <w:r w:rsidR="004C1790" w:rsidRPr="00B23CC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253E6" w:rsidRPr="00530123" w:rsidTr="00C42DC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E6" w:rsidRPr="00B23CCE" w:rsidRDefault="007253E6" w:rsidP="00C42DCE">
            <w:pPr>
              <w:spacing w:after="0" w:line="20" w:lineRule="atLeast"/>
              <w:ind w:left="142" w:right="1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Альтернатива 2</w:t>
            </w:r>
          </w:p>
          <w:p w:rsidR="007253E6" w:rsidRPr="00B23CCE" w:rsidRDefault="007253E6" w:rsidP="00C42DCE">
            <w:pPr>
              <w:spacing w:after="0" w:line="20" w:lineRule="atLeast"/>
              <w:ind w:left="142" w:right="1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E6" w:rsidRPr="00B23CCE" w:rsidRDefault="007253E6" w:rsidP="006B054C">
            <w:pPr>
              <w:spacing w:after="0" w:line="20" w:lineRule="atLeast"/>
              <w:ind w:left="127" w:right="157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Прийняття проєкту </w:t>
            </w:r>
            <w:r w:rsidR="008A6476"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рішення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030D01" w:rsidRPr="00B23CCE" w:rsidRDefault="007253E6" w:rsidP="00E52453">
            <w:pPr>
              <w:spacing w:after="0" w:line="240" w:lineRule="auto"/>
              <w:ind w:left="127" w:right="14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запропонованого проєкту </w:t>
            </w:r>
            <w:r w:rsidR="008A6476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необхідне для виконання положень  Закону</w:t>
            </w:r>
            <w:r w:rsidR="005A279F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дозволить усунути прогалини нормативно-правового регулювання </w:t>
            </w:r>
            <w:r w:rsidR="00B91AA9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повною мірою застосувати механізм </w:t>
            </w:r>
            <w:r w:rsidR="00030D01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фінансової шкоди організаторами азартних ігор, які не забезпечили неможливість участі в азартних іграх осіб, участь яких в азартній грі заборонена Законом та іншими законами.</w:t>
            </w:r>
          </w:p>
          <w:p w:rsidR="007253E6" w:rsidRPr="00B23CCE" w:rsidRDefault="007253E6" w:rsidP="00F85419">
            <w:pPr>
              <w:spacing w:after="0" w:line="240" w:lineRule="auto"/>
              <w:ind w:left="127" w:right="14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Проєктом </w:t>
            </w:r>
            <w:r w:rsidR="008A6476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</w:t>
            </w:r>
            <w:r w:rsidR="00B62C7A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визнача</w:t>
            </w:r>
            <w:r w:rsidR="009B072C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ється </w:t>
            </w:r>
            <w:r w:rsidR="00F85419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механізм відшкодування фінансової шкоди організаторами азартних ігор, які не забезпечили неможливість участі в азартних іграх осіб, участь яких в азартній грі заборонена Законом та іншими законами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сприятиме </w:t>
            </w:r>
            <w:r w:rsidR="00B91AA9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дотриманню принципів відповідальної гри організаторами азартних ігор</w:t>
            </w:r>
            <w:r w:rsidR="00B10AAE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91AA9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91AA9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Положення проєкту рішення також спрямовані на</w:t>
            </w:r>
            <w:r w:rsidR="00B10AAE" w:rsidRPr="00B23CCE">
              <w:rPr>
                <w:shd w:val="clear" w:color="auto" w:fill="FFFFFF"/>
                <w:lang w:val="uk-UA"/>
              </w:rPr>
              <w:t xml:space="preserve">  </w:t>
            </w:r>
            <w:r w:rsidR="00B10AAE"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попередження та мінімізацію негативних наслідків участі фізичної особи в азартній грі</w:t>
            </w:r>
            <w:r w:rsidR="00F85419"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202514" w:rsidRPr="00B23CCE" w:rsidRDefault="00202514" w:rsidP="007253E6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253E6" w:rsidRPr="00B23CCE" w:rsidRDefault="007253E6" w:rsidP="007253E6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держави</w:t>
      </w:r>
    </w:p>
    <w:p w:rsidR="007253E6" w:rsidRPr="00B23CCE" w:rsidRDefault="007253E6" w:rsidP="007253E6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2"/>
        <w:gridCol w:w="3697"/>
        <w:gridCol w:w="3670"/>
      </w:tblGrid>
      <w:tr w:rsidR="007253E6" w:rsidRPr="00B23CCE" w:rsidTr="0018454E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E6" w:rsidRPr="00B23CCE" w:rsidRDefault="007253E6" w:rsidP="00B953C0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14" w:name="n119"/>
            <w:bookmarkEnd w:id="14"/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E6" w:rsidRPr="00B23CCE" w:rsidRDefault="007253E6" w:rsidP="00623B3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E6" w:rsidRPr="00B23CCE" w:rsidRDefault="007253E6" w:rsidP="00623B3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7253E6" w:rsidRPr="00B23CCE" w:rsidTr="0018454E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E6" w:rsidRPr="00B23CCE" w:rsidRDefault="007253E6" w:rsidP="00B953C0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  <w:p w:rsidR="007253E6" w:rsidRPr="00B23CCE" w:rsidRDefault="007253E6" w:rsidP="00B953C0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E6" w:rsidRPr="00B23CCE" w:rsidRDefault="007253E6" w:rsidP="00580AAD">
            <w:pPr>
              <w:spacing w:after="0" w:line="20" w:lineRule="atLeast"/>
              <w:ind w:left="138" w:firstLine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  <w:p w:rsidR="00965BD4" w:rsidRPr="00B23CCE" w:rsidRDefault="00965BD4" w:rsidP="00965BD4">
            <w:pPr>
              <w:pStyle w:val="rvps14"/>
              <w:spacing w:before="0" w:after="0"/>
              <w:ind w:left="147" w:right="139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BA1" w:rsidRPr="00B23CCE" w:rsidRDefault="007253E6" w:rsidP="00273BA1">
            <w:pPr>
              <w:shd w:val="clear" w:color="auto" w:fill="FFFFFF"/>
              <w:suppressAutoHyphens w:val="0"/>
              <w:spacing w:after="0" w:line="240" w:lineRule="auto"/>
              <w:ind w:left="110" w:right="127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Відсутність </w:t>
            </w:r>
            <w:r w:rsidR="00F05CC3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механізму відшкодування фінансової шкоди організаторами азартних ігор, які не забезпечили неможливість участі в азартних іграх осіб, участь яких в азартній грі заборонена Законом та іншими законами</w:t>
            </w:r>
            <w:r w:rsidR="00273BA1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призведе до зменшення відповідальності таких організаторів за порушення вимог Закону. </w:t>
            </w:r>
          </w:p>
          <w:p w:rsidR="00EA386E" w:rsidRPr="00B23CCE" w:rsidRDefault="00F73B08" w:rsidP="00273BA1">
            <w:pPr>
              <w:shd w:val="clear" w:color="auto" w:fill="FFFFFF"/>
              <w:suppressAutoHyphens w:val="0"/>
              <w:spacing w:after="0" w:line="240" w:lineRule="auto"/>
              <w:ind w:left="110" w:right="127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свою чергу, </w:t>
            </w:r>
            <w:r w:rsidR="00273BA1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це </w:t>
            </w:r>
            <w:r w:rsidR="00B10AAE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призведе до незахищеності населення від негативного впливу азартних ігор. Як наслідок, це може призвести до посилення вимог щодо відновлення заборони грального бізнесу в Україні, </w:t>
            </w:r>
            <w:r w:rsidR="00B10AAE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в результаті чого держава втратить надходжень до бюджету на </w:t>
            </w:r>
            <w:r w:rsidR="0076767D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1,5</w:t>
            </w:r>
            <w:r w:rsidR="00273BA1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млрд</w:t>
            </w:r>
            <w:r w:rsidR="0075119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B10AAE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B10AAE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грн</w:t>
            </w:r>
            <w:proofErr w:type="spellEnd"/>
            <w:r w:rsidR="00B10AAE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щороку.</w:t>
            </w:r>
          </w:p>
        </w:tc>
      </w:tr>
      <w:tr w:rsidR="007253E6" w:rsidRPr="00B23CCE" w:rsidTr="0018454E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E6" w:rsidRPr="00B23CCE" w:rsidRDefault="007253E6" w:rsidP="00B953C0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  <w:p w:rsidR="007253E6" w:rsidRPr="00B23CCE" w:rsidRDefault="007253E6" w:rsidP="00B953C0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E6" w:rsidRPr="00B23CCE" w:rsidRDefault="007253E6" w:rsidP="00B953C0">
            <w:pPr>
              <w:spacing w:after="0" w:line="20" w:lineRule="atLeast"/>
              <w:ind w:left="138" w:right="127" w:firstLine="142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Прийняття регуляторного акта забезпечить: </w:t>
            </w:r>
          </w:p>
          <w:p w:rsidR="007253E6" w:rsidRPr="00B23CCE" w:rsidRDefault="007253E6" w:rsidP="00B953C0">
            <w:pPr>
              <w:pStyle w:val="a8"/>
              <w:numPr>
                <w:ilvl w:val="0"/>
                <w:numId w:val="3"/>
              </w:numPr>
              <w:tabs>
                <w:tab w:val="left" w:pos="430"/>
              </w:tabs>
              <w:spacing w:after="0" w:line="20" w:lineRule="atLeast"/>
              <w:ind w:left="138" w:right="127" w:firstLine="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виконання вимог </w:t>
            </w:r>
            <w:r w:rsidR="00353CE5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2327C" w:rsidRPr="00B23CCE" w:rsidRDefault="0042327C" w:rsidP="0042327C">
            <w:pPr>
              <w:pStyle w:val="a8"/>
              <w:numPr>
                <w:ilvl w:val="0"/>
                <w:numId w:val="3"/>
              </w:numPr>
              <w:spacing w:after="0" w:line="20" w:lineRule="atLeast"/>
              <w:ind w:left="138" w:right="157" w:hanging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5" w:name="_Hlk77170256"/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створення ефективного механізму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фінансової шкоди організаторами азартних ігор, які не забезпечили неможливість участі в азартних іграх осіб, участь яких в азартній грі заборонена Законом та іншими законами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bookmarkEnd w:id="15"/>
          <w:p w:rsidR="008911DC" w:rsidRPr="00B23CCE" w:rsidRDefault="00963655" w:rsidP="00B953C0">
            <w:pPr>
              <w:pStyle w:val="a8"/>
              <w:numPr>
                <w:ilvl w:val="0"/>
                <w:numId w:val="3"/>
              </w:numPr>
              <w:tabs>
                <w:tab w:val="left" w:pos="430"/>
              </w:tabs>
              <w:spacing w:after="0" w:line="20" w:lineRule="atLeast"/>
              <w:ind w:left="138" w:right="127" w:firstLine="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посилення відповідальності </w:t>
            </w:r>
            <w:r w:rsidR="0042327C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організаторів азартних</w:t>
            </w:r>
            <w:r w:rsidR="0042327C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 не</w:t>
            </w:r>
            <w:r w:rsidR="00353CE5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дотримання </w:t>
            </w:r>
            <w:r w:rsidR="00DB57BC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вимог Закону</w:t>
            </w:r>
            <w:r w:rsidR="008911DC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7253E6" w:rsidRPr="00B23CCE" w:rsidRDefault="00353CE5" w:rsidP="0042327C">
            <w:pPr>
              <w:pStyle w:val="a8"/>
              <w:numPr>
                <w:ilvl w:val="0"/>
                <w:numId w:val="9"/>
              </w:numPr>
              <w:tabs>
                <w:tab w:val="left" w:pos="430"/>
              </w:tabs>
              <w:spacing w:after="0" w:line="20" w:lineRule="atLeast"/>
              <w:ind w:left="138" w:right="12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зменшення суспільної шкоди, пов’язаної з азартними іграми.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E6" w:rsidRPr="00B23CCE" w:rsidRDefault="0090683C" w:rsidP="00B953C0">
            <w:pPr>
              <w:spacing w:after="0" w:line="20" w:lineRule="atLeast"/>
              <w:ind w:left="110" w:right="13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вимог регуляторного акта не передбачає бюджетних витрат.</w:t>
            </w:r>
          </w:p>
        </w:tc>
      </w:tr>
    </w:tbl>
    <w:p w:rsidR="007253E6" w:rsidRPr="00B23CCE" w:rsidRDefault="007253E6" w:rsidP="007253E6">
      <w:pPr>
        <w:spacing w:after="0" w:line="20" w:lineRule="atLeast"/>
        <w:ind w:firstLine="708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6" w:name="n121"/>
      <w:bookmarkStart w:id="17" w:name="n120"/>
      <w:bookmarkEnd w:id="16"/>
      <w:bookmarkEnd w:id="17"/>
    </w:p>
    <w:p w:rsidR="00734824" w:rsidRPr="00B23CCE" w:rsidRDefault="00734824" w:rsidP="00734824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громадян</w:t>
      </w:r>
    </w:p>
    <w:p w:rsidR="00734824" w:rsidRPr="00B23CCE" w:rsidRDefault="00734824" w:rsidP="00734824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499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1"/>
        <w:gridCol w:w="3473"/>
        <w:gridCol w:w="4110"/>
      </w:tblGrid>
      <w:tr w:rsidR="00734824" w:rsidRPr="00B23CCE" w:rsidTr="0018454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580AA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734824" w:rsidRPr="00D02BD3" w:rsidTr="0018454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580AA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Альтернатива 1</w:t>
            </w:r>
          </w:p>
          <w:p w:rsidR="00734824" w:rsidRPr="00B23CCE" w:rsidRDefault="00734824" w:rsidP="00580AA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ind w:left="134" w:firstLine="1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B13" w:rsidRPr="00B23CCE" w:rsidRDefault="00734824" w:rsidP="0076767D">
            <w:pPr>
              <w:widowControl w:val="0"/>
              <w:spacing w:after="0" w:line="240" w:lineRule="auto"/>
              <w:ind w:left="132" w:right="13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 </w:t>
            </w:r>
            <w:r w:rsidR="00345C41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механізму відшкодування фінансової шкоди організаторами азартних ігор, які не забезпечили неможливість участі в азартних іграх осіб, участь яких в азартній грі заборонена Законом та іншими законами, </w:t>
            </w:r>
            <w:r w:rsidR="00EB4305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призведе до незахищеності таких осіб від негативного впливу азартних ігор.</w:t>
            </w:r>
          </w:p>
          <w:p w:rsidR="00734824" w:rsidRPr="00B23CCE" w:rsidRDefault="00734824" w:rsidP="0076767D">
            <w:pPr>
              <w:widowControl w:val="0"/>
              <w:spacing w:after="0" w:line="240" w:lineRule="auto"/>
              <w:ind w:left="132" w:right="13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 разі неприйняття проєкту </w:t>
            </w:r>
            <w:r w:rsidR="00403B13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ішення зростає імовірність </w:t>
            </w:r>
            <w:r w:rsidR="00403B13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умов </w:t>
            </w:r>
            <w:r w:rsidR="00EF1648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</w:t>
            </w:r>
            <w:r w:rsidR="00403B13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соціальних ризиків, пов’язаних з організацією та проведенням азартних ігор, з</w:t>
            </w:r>
            <w:r w:rsidR="001846D4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більшення</w:t>
            </w:r>
            <w:r w:rsidR="00403B13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суспільної шкоди пов’язаної з азартними іграми.</w:t>
            </w:r>
          </w:p>
        </w:tc>
      </w:tr>
      <w:tr w:rsidR="00734824" w:rsidRPr="00B23CCE" w:rsidTr="0018454E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580AA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  <w:p w:rsidR="00734824" w:rsidRPr="00B23CCE" w:rsidRDefault="00734824" w:rsidP="00580AA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5C7" w:rsidRPr="00B23CCE" w:rsidRDefault="00BD16C2" w:rsidP="00765ACD">
            <w:pPr>
              <w:spacing w:after="0" w:line="240" w:lineRule="auto"/>
              <w:ind w:left="72" w:right="144" w:firstLine="26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Прийняття проєкту р</w:t>
            </w:r>
            <w:r w:rsidR="00734824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ішення забезпечить </w:t>
            </w:r>
            <w:r w:rsidR="00A974EC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дотримання організаторами азартних ігор</w:t>
            </w:r>
            <w:r w:rsidR="003D2E3E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="00A974EC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3D2E3E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які не забезпечили неможливість участі в азартних іграх осіб, участь яких в азартній грі заборонена Законом та іншими законами, </w:t>
            </w:r>
            <w:r w:rsidR="00765ACD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вимог Закону</w:t>
            </w:r>
            <w:r w:rsidR="00EB4305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щодо </w:t>
            </w:r>
            <w:r w:rsidR="008455C7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відшкодування фінансової шко</w:t>
            </w:r>
            <w:r w:rsidR="003D2E3E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ди</w:t>
            </w:r>
            <w:r w:rsidR="00B8142D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8455C7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92161C" w:rsidRPr="00B23CCE" w:rsidRDefault="00734824" w:rsidP="00803E10">
            <w:pPr>
              <w:spacing w:after="0" w:line="240" w:lineRule="auto"/>
              <w:ind w:left="72" w:right="144" w:firstLine="26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результаті </w:t>
            </w:r>
            <w:r w:rsidR="00B8142D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особи, в разі їх участі в азартних іграх</w:t>
            </w:r>
            <w:r w:rsidR="0092161C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матимуть можливість:</w:t>
            </w:r>
          </w:p>
          <w:p w:rsidR="0092161C" w:rsidRPr="00B23CCE" w:rsidRDefault="00B8142D" w:rsidP="0092161C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97" w:right="14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звернутися для захисту своїх прав</w:t>
            </w:r>
            <w:r w:rsidR="00803E10"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отрим</w:t>
            </w:r>
            <w:r w:rsidR="007C18A6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ати</w:t>
            </w:r>
            <w:r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гарантію того, що організатор азартних ігор не буде звільнений від від</w:t>
            </w:r>
            <w:r w:rsidR="0092161C"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повідальності за бездіяльність;</w:t>
            </w:r>
          </w:p>
          <w:p w:rsidR="00734824" w:rsidRPr="00B23CCE" w:rsidRDefault="00B8142D" w:rsidP="0092161C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97" w:right="144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мінімізувати негативний вплив азартних ігор, отримати відчуття </w:t>
            </w:r>
            <w:r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впевненості та </w:t>
            </w:r>
            <w:r w:rsidR="00EB4305"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захищеності від бездіяльності о</w:t>
            </w:r>
            <w:r w:rsidR="0092161C"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рганізатора азартних ігор.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ind w:left="122" w:right="157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</w:tr>
    </w:tbl>
    <w:p w:rsidR="00734824" w:rsidRPr="00B23CCE" w:rsidRDefault="00734824" w:rsidP="00734824">
      <w:pPr>
        <w:spacing w:after="0" w:line="20" w:lineRule="atLeast"/>
        <w:ind w:firstLine="708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34824" w:rsidRPr="00B23CCE" w:rsidRDefault="00734824" w:rsidP="00734824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суб’єктів господарювання</w:t>
      </w:r>
    </w:p>
    <w:p w:rsidR="00734824" w:rsidRPr="00B23CCE" w:rsidRDefault="00734824" w:rsidP="00734824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W w:w="499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6"/>
        <w:gridCol w:w="1275"/>
        <w:gridCol w:w="1276"/>
        <w:gridCol w:w="1276"/>
        <w:gridCol w:w="1276"/>
        <w:gridCol w:w="1275"/>
      </w:tblGrid>
      <w:tr w:rsidR="00734824" w:rsidRPr="00B23CCE" w:rsidTr="00F937FB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734824" w:rsidP="00F937FB">
            <w:pPr>
              <w:spacing w:after="0" w:line="20" w:lineRule="atLeast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Показник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Великі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Середні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Малі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Мікро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Разом</w:t>
            </w:r>
          </w:p>
        </w:tc>
      </w:tr>
      <w:tr w:rsidR="00734824" w:rsidRPr="00B23CCE" w:rsidTr="00F937FB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734824" w:rsidP="00F937FB">
            <w:pPr>
              <w:spacing w:after="0" w:line="20" w:lineRule="atLeast"/>
              <w:ind w:left="142" w:right="12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Кількість суб’єктів господарювання на ринку азартних ігор*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E972DF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E972DF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E972DF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E972DF" w:rsidRPr="00B23CCE" w:rsidTr="00F937FB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2DF" w:rsidRPr="00B23CCE" w:rsidRDefault="00E972DF" w:rsidP="00F937FB">
            <w:pPr>
              <w:spacing w:after="0" w:line="20" w:lineRule="atLeast"/>
              <w:ind w:left="142" w:right="124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Загальна кількість суб’єктів господарювання, що підпадають під дію регулювання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2DF" w:rsidRPr="00B23CCE" w:rsidRDefault="00E972DF" w:rsidP="00E955F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2DF" w:rsidRPr="00B23CCE" w:rsidRDefault="00E972DF" w:rsidP="00E955F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E972DF" w:rsidRPr="00B23CCE" w:rsidRDefault="00E972DF" w:rsidP="00E955F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2DF" w:rsidRPr="00B23CCE" w:rsidRDefault="00E972DF" w:rsidP="00392D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  <w:p w:rsidR="00E972DF" w:rsidRPr="00B23CCE" w:rsidRDefault="00E972DF" w:rsidP="00392D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2DF" w:rsidRPr="00B23CCE" w:rsidRDefault="00E972DF" w:rsidP="00392D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2DF" w:rsidRPr="00B23CCE" w:rsidRDefault="00E972DF" w:rsidP="00392D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734824" w:rsidRPr="00B23CCE" w:rsidTr="00F937FB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734824" w:rsidP="00F937FB">
            <w:pPr>
              <w:spacing w:after="0" w:line="20" w:lineRule="atLeast"/>
              <w:ind w:left="142" w:right="12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Питома вага групи у загальній кількості, відсотків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734824" w:rsidP="00E972D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972DF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E972DF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</w:tbl>
    <w:p w:rsidR="00734824" w:rsidRPr="00B23CCE" w:rsidRDefault="00734824" w:rsidP="00734824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734824" w:rsidRPr="00B23CCE" w:rsidRDefault="00734824" w:rsidP="00734824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3CCE">
        <w:rPr>
          <w:rFonts w:ascii="Times New Roman" w:hAnsi="Times New Roman" w:cs="Times New Roman"/>
          <w:sz w:val="24"/>
          <w:szCs w:val="24"/>
          <w:lang w:val="uk-UA" w:eastAsia="uk-UA"/>
        </w:rPr>
        <w:t>* Кількість суб’єктів господарювання, які станом на 01.</w:t>
      </w:r>
      <w:r w:rsidR="00392DF7" w:rsidRPr="00B23CCE">
        <w:rPr>
          <w:rFonts w:ascii="Times New Roman" w:hAnsi="Times New Roman" w:cs="Times New Roman"/>
          <w:sz w:val="24"/>
          <w:szCs w:val="24"/>
          <w:lang w:val="uk-UA" w:eastAsia="uk-UA"/>
        </w:rPr>
        <w:t>0</w:t>
      </w:r>
      <w:r w:rsidR="00B8142D" w:rsidRPr="00B23CCE">
        <w:rPr>
          <w:rFonts w:ascii="Times New Roman" w:hAnsi="Times New Roman" w:cs="Times New Roman"/>
          <w:sz w:val="24"/>
          <w:szCs w:val="24"/>
          <w:lang w:val="uk-UA" w:eastAsia="uk-UA"/>
        </w:rPr>
        <w:t>8</w:t>
      </w:r>
      <w:r w:rsidR="00392DF7" w:rsidRPr="00B23CCE">
        <w:rPr>
          <w:rFonts w:ascii="Times New Roman" w:hAnsi="Times New Roman" w:cs="Times New Roman"/>
          <w:sz w:val="24"/>
          <w:szCs w:val="24"/>
          <w:lang w:val="uk-UA" w:eastAsia="uk-UA"/>
        </w:rPr>
        <w:t>.2022</w:t>
      </w:r>
      <w:r w:rsidRPr="00B23CC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отримали ліцензію на провадження діяльності з організації та проведення азартних ігор, зокрема, на провадження діяльності казино у мережі Інтернет, у гральних закладах казино, у залах гральних автоматів, гри в покер в мережі Інтернет, а також на букмекерську діяльність</w:t>
      </w:r>
      <w:r w:rsidRPr="00B23CC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34824" w:rsidRPr="00B23CCE" w:rsidRDefault="00734824" w:rsidP="0073482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9"/>
        <w:gridCol w:w="3413"/>
        <w:gridCol w:w="4266"/>
      </w:tblGrid>
      <w:tr w:rsidR="00734824" w:rsidRPr="00B23CCE" w:rsidTr="007B6D58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76767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8" w:name="n143"/>
            <w:bookmarkEnd w:id="18"/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734824" w:rsidRPr="00530123" w:rsidTr="007B6D58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76767D">
            <w:pPr>
              <w:spacing w:after="0" w:line="20" w:lineRule="atLeast"/>
              <w:ind w:left="142" w:hanging="14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Альтернатива 1</w:t>
            </w:r>
          </w:p>
          <w:p w:rsidR="00734824" w:rsidRPr="00B23CCE" w:rsidRDefault="00734824" w:rsidP="0076767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051481" w:rsidP="004C35D8">
            <w:pPr>
              <w:spacing w:after="0" w:line="20" w:lineRule="atLeast"/>
              <w:ind w:left="134" w:right="127" w:firstLine="1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DA0062">
            <w:pPr>
              <w:widowControl w:val="0"/>
              <w:spacing w:after="0" w:line="240" w:lineRule="auto"/>
              <w:ind w:left="132" w:right="130" w:firstLine="2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</w:t>
            </w:r>
            <w:r w:rsidR="00B12875"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C4DB4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порядку</w:t>
            </w:r>
            <w:r w:rsidR="0018454E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відшкодування фінансової шкоди організаторами азартних ігор, які не забезпечили неможливість участі в азартних іграх осіб, участь яких в азартній грі заборонена Законом та іншими законами</w:t>
            </w:r>
            <w:r w:rsidR="00DA0062"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B12875"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призведе</w:t>
            </w:r>
            <w:r w:rsidR="00B12875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неефективного функціонування механізму </w:t>
            </w:r>
            <w:r w:rsidR="00AC4DB4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такого відшкодування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 Це, в свою чергу, призведе до незахищеності прав</w:t>
            </w:r>
            <w:r w:rsidR="00B12875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і свобод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громадян,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репутаційних втрат організаторів та посилення вимог щодо відновлення заборони грального бізнесу в Україні.</w:t>
            </w:r>
          </w:p>
          <w:p w:rsidR="002B294D" w:rsidRPr="00B23CCE" w:rsidRDefault="0061729E" w:rsidP="007B6D58">
            <w:pPr>
              <w:widowControl w:val="0"/>
              <w:spacing w:after="0" w:line="240" w:lineRule="auto"/>
              <w:ind w:left="132" w:right="130" w:firstLine="2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Крім того, відсутність механізму </w:t>
            </w:r>
            <w:r w:rsidR="007B6D58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фінансової шкоди </w:t>
            </w:r>
            <w:r w:rsidR="007B6D58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особам, участь яких в азартній грі заборонена Законом та іншими </w:t>
            </w:r>
            <w:r w:rsidR="007B6D58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законами</w:t>
            </w:r>
            <w:r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може призвести до зловживань правом </w:t>
            </w:r>
            <w:r w:rsidR="00F937FB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таких осіб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відшкодування </w:t>
            </w:r>
            <w:r w:rsidR="002B294D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вигляді десятикратного розміру програшу та можливою необачливістю організатора азартних ігор з метою отримання прибутку.</w:t>
            </w:r>
          </w:p>
        </w:tc>
      </w:tr>
      <w:tr w:rsidR="00734824" w:rsidRPr="00B23CCE" w:rsidTr="007B6D58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76767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  <w:p w:rsidR="00734824" w:rsidRPr="00B23CCE" w:rsidRDefault="00734824" w:rsidP="0076767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BD16C2" w:rsidP="00F937FB">
            <w:pPr>
              <w:spacing w:after="0" w:line="20" w:lineRule="atLeast"/>
              <w:ind w:left="134" w:right="128" w:firstLine="28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Прийняття проєкту р</w:t>
            </w:r>
            <w:r w:rsidR="00734824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ішення забезпечить:</w:t>
            </w:r>
          </w:p>
          <w:p w:rsidR="00734824" w:rsidRPr="00B23CCE" w:rsidRDefault="00734824" w:rsidP="00734824">
            <w:pPr>
              <w:pStyle w:val="a8"/>
              <w:numPr>
                <w:ilvl w:val="0"/>
                <w:numId w:val="14"/>
              </w:numPr>
              <w:tabs>
                <w:tab w:val="left" w:pos="412"/>
              </w:tabs>
              <w:spacing w:after="0" w:line="20" w:lineRule="atLeast"/>
              <w:ind w:left="127" w:right="128" w:firstLine="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виконання обов’язків організатора азартних ігор дотримуватися </w:t>
            </w:r>
            <w:r w:rsidR="00FE4F9C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вимог Закону щодо недопущення до участі в азартних іграх осіб, яким така участь заборонена Законом та іншими законами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; </w:t>
            </w:r>
          </w:p>
          <w:p w:rsidR="00FE4F9C" w:rsidRPr="00B23CCE" w:rsidRDefault="00F937FB" w:rsidP="00734824">
            <w:pPr>
              <w:pStyle w:val="a8"/>
              <w:numPr>
                <w:ilvl w:val="0"/>
                <w:numId w:val="14"/>
              </w:numPr>
              <w:shd w:val="clear" w:color="auto" w:fill="FFFFFF"/>
              <w:tabs>
                <w:tab w:val="left" w:pos="412"/>
              </w:tabs>
              <w:suppressAutoHyphens w:val="0"/>
              <w:spacing w:after="0" w:line="240" w:lineRule="auto"/>
              <w:ind w:left="127" w:right="126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застосува</w:t>
            </w:r>
            <w:r w:rsidR="000A64FA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ння чітк</w:t>
            </w:r>
            <w:r w:rsidR="00FE4F9C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ого та єдиного для всіх організаторів азартних ігор порядку дій;</w:t>
            </w:r>
            <w:r w:rsidR="00BD16C2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734824" w:rsidRPr="00B23CCE" w:rsidRDefault="00734824" w:rsidP="000A64FA">
            <w:pPr>
              <w:pStyle w:val="a8"/>
              <w:numPr>
                <w:ilvl w:val="0"/>
                <w:numId w:val="14"/>
              </w:numPr>
              <w:shd w:val="clear" w:color="auto" w:fill="FFFFFF"/>
              <w:tabs>
                <w:tab w:val="left" w:pos="412"/>
              </w:tabs>
              <w:suppressAutoHyphens w:val="0"/>
              <w:spacing w:after="0" w:line="240" w:lineRule="auto"/>
              <w:ind w:left="127" w:right="126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сприяння формуванню іміджу надійного та відповідаль</w:t>
            </w:r>
            <w:r w:rsidR="000A64FA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ного організатора азартних ігор.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7A123B">
            <w:pPr>
              <w:spacing w:after="0" w:line="20" w:lineRule="atLeast"/>
              <w:ind w:left="122" w:right="157" w:firstLine="2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Витрати суб’єктів господарюва</w:t>
            </w:r>
            <w:r w:rsidR="00E36F8A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ння на виконання вимог </w:t>
            </w:r>
            <w:proofErr w:type="spellStart"/>
            <w:r w:rsidR="00E36F8A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="00E36F8A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="0096365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шення, складуть </w:t>
            </w:r>
            <w:r w:rsidR="007A123B" w:rsidRPr="007A12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 тис</w:t>
            </w:r>
            <w:r w:rsidR="0075119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7A12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A12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грн</w:t>
            </w:r>
            <w:proofErr w:type="spellEnd"/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на одного суб’єкта господ</w:t>
            </w:r>
            <w:r w:rsidR="00FE4F9C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арювання.</w:t>
            </w:r>
          </w:p>
        </w:tc>
      </w:tr>
    </w:tbl>
    <w:p w:rsidR="00734824" w:rsidRPr="00B23CCE" w:rsidRDefault="00734824" w:rsidP="00734824">
      <w:pPr>
        <w:pStyle w:val="rvps12"/>
        <w:spacing w:before="0" w:after="0" w:line="20" w:lineRule="atLeast"/>
        <w:contextualSpacing/>
        <w:jc w:val="center"/>
        <w:rPr>
          <w:b/>
          <w:sz w:val="28"/>
          <w:szCs w:val="28"/>
          <w:lang w:val="uk-UA" w:eastAsia="uk-UA"/>
        </w:rPr>
      </w:pPr>
      <w:bookmarkStart w:id="19" w:name="n188"/>
      <w:bookmarkStart w:id="20" w:name="n187"/>
      <w:bookmarkStart w:id="21" w:name="n186"/>
      <w:bookmarkStart w:id="22" w:name="n185"/>
      <w:bookmarkStart w:id="23" w:name="n184"/>
      <w:bookmarkStart w:id="24" w:name="n183"/>
      <w:bookmarkStart w:id="25" w:name="n182"/>
      <w:bookmarkStart w:id="26" w:name="n181"/>
      <w:bookmarkStart w:id="27" w:name="n180"/>
      <w:bookmarkStart w:id="28" w:name="n179"/>
      <w:bookmarkStart w:id="29" w:name="n149"/>
      <w:bookmarkStart w:id="30" w:name="n144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734824" w:rsidRPr="00B23CCE" w:rsidRDefault="00734824" w:rsidP="00734824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40"/>
        <w:gridCol w:w="3028"/>
      </w:tblGrid>
      <w:tr w:rsidR="00734824" w:rsidRPr="00B23CCE" w:rsidTr="004C35D8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pStyle w:val="rvps12"/>
              <w:spacing w:before="0" w:after="0" w:line="20" w:lineRule="atLeast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b/>
                <w:bCs/>
                <w:sz w:val="28"/>
                <w:szCs w:val="28"/>
                <w:lang w:val="uk-UA" w:eastAsia="uk-UA"/>
              </w:rPr>
              <w:t>Сумарні витрати за альтернативами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pStyle w:val="rvps12"/>
              <w:spacing w:before="0" w:after="0" w:line="20" w:lineRule="atLeast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b/>
                <w:bCs/>
                <w:sz w:val="28"/>
                <w:szCs w:val="28"/>
                <w:lang w:val="uk-UA" w:eastAsia="uk-UA"/>
              </w:rPr>
              <w:t>Сума витрат, гривень</w:t>
            </w:r>
          </w:p>
        </w:tc>
      </w:tr>
      <w:tr w:rsidR="00734824" w:rsidRPr="00B23CCE" w:rsidTr="004C35D8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pStyle w:val="rvps14"/>
              <w:spacing w:before="0" w:after="0" w:line="20" w:lineRule="atLeast"/>
              <w:ind w:left="142" w:right="166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23CCE">
              <w:rPr>
                <w:sz w:val="28"/>
                <w:szCs w:val="28"/>
                <w:lang w:val="uk-UA" w:eastAsia="uk-UA"/>
              </w:rPr>
              <w:t>Альтернатива 1.  Сумарні витрати для суб’єктів господарювання великого і середнього підприємництва  згідно з додатком 2 до Методики проведення аналізу впливу регуляторного акта (рядок 8 таблиці «Витрати на одного суб’єкта господарювання великого і середнього підприємництва, які виникають внаслідок дії регуляторного акта»)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pStyle w:val="rvps14"/>
              <w:spacing w:before="0" w:after="0" w:line="20" w:lineRule="atLeast"/>
              <w:ind w:left="1068"/>
              <w:contextualSpacing/>
              <w:rPr>
                <w:sz w:val="28"/>
                <w:szCs w:val="28"/>
                <w:lang w:val="uk-UA"/>
              </w:rPr>
            </w:pPr>
            <w:r w:rsidRPr="00B23CCE">
              <w:rPr>
                <w:sz w:val="28"/>
                <w:szCs w:val="28"/>
                <w:lang w:val="uk-UA" w:eastAsia="uk-UA"/>
              </w:rPr>
              <w:t xml:space="preserve">0 </w:t>
            </w:r>
            <w:proofErr w:type="spellStart"/>
            <w:r w:rsidRPr="00B23CCE">
              <w:rPr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</w:tr>
      <w:tr w:rsidR="00734824" w:rsidRPr="00B23CCE" w:rsidTr="004C35D8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pStyle w:val="rvps14"/>
              <w:spacing w:before="0" w:after="0" w:line="20" w:lineRule="atLeast"/>
              <w:ind w:left="142" w:right="166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23CCE">
              <w:rPr>
                <w:sz w:val="28"/>
                <w:szCs w:val="28"/>
                <w:lang w:val="uk-UA" w:eastAsia="uk-UA"/>
              </w:rPr>
              <w:t xml:space="preserve">Альтернатива 2. Сумарні витрати для суб’єктів господарювання великого і середнього підприємництва згідно з додатком 2 до Методики </w:t>
            </w:r>
            <w:r w:rsidRPr="00B23CCE">
              <w:rPr>
                <w:sz w:val="28"/>
                <w:szCs w:val="28"/>
                <w:lang w:val="uk-UA" w:eastAsia="uk-UA"/>
              </w:rPr>
              <w:lastRenderedPageBreak/>
              <w:t>проведення аналізу впливу регуляторного акта (рядок 8 таблиці «Витрати на одного суб’єкта господарювання великого і середнього підприємництва, які виникають внаслідок дії регуляторного акта»)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pStyle w:val="rvps14"/>
              <w:spacing w:before="0" w:after="0" w:line="20" w:lineRule="atLeast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23CCE">
              <w:rPr>
                <w:sz w:val="28"/>
                <w:szCs w:val="28"/>
                <w:lang w:val="uk-UA"/>
              </w:rPr>
              <w:lastRenderedPageBreak/>
              <w:t xml:space="preserve">Сумарні витрати суб’єктів великого та середнього бізнесу – </w:t>
            </w:r>
          </w:p>
          <w:p w:rsidR="00734824" w:rsidRPr="00B23CCE" w:rsidRDefault="007A3B5A" w:rsidP="004C35D8">
            <w:pPr>
              <w:pStyle w:val="rvps14"/>
              <w:spacing w:before="0" w:after="0" w:line="20" w:lineRule="atLeast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1 470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bookmarkStart w:id="31" w:name="_GoBack"/>
            <w:bookmarkEnd w:id="31"/>
            <w:r w:rsidR="000B66AD" w:rsidRPr="000B66AD">
              <w:rPr>
                <w:sz w:val="28"/>
                <w:szCs w:val="28"/>
                <w:lang w:val="uk-UA"/>
              </w:rPr>
              <w:t>тис</w:t>
            </w:r>
            <w:r w:rsidR="00751190">
              <w:rPr>
                <w:sz w:val="28"/>
                <w:szCs w:val="28"/>
                <w:lang w:val="uk-UA"/>
              </w:rPr>
              <w:t>.</w:t>
            </w:r>
            <w:r w:rsidR="00734824" w:rsidRPr="000B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4824" w:rsidRPr="000B66AD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734824" w:rsidRPr="00B23CCE" w:rsidRDefault="00734824" w:rsidP="004C35D8">
            <w:pPr>
              <w:pStyle w:val="rvps14"/>
              <w:spacing w:before="0" w:after="0" w:line="20" w:lineRule="atLeast"/>
              <w:contextualSpacing/>
              <w:jc w:val="center"/>
              <w:rPr>
                <w:sz w:val="12"/>
                <w:szCs w:val="12"/>
                <w:lang w:val="uk-UA"/>
              </w:rPr>
            </w:pPr>
          </w:p>
          <w:p w:rsidR="00734824" w:rsidRPr="00B23CCE" w:rsidRDefault="00734824" w:rsidP="004C35D8">
            <w:pPr>
              <w:pStyle w:val="rvps14"/>
              <w:spacing w:before="0" w:after="0" w:line="20" w:lineRule="atLeast"/>
              <w:contextualSpacing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734824" w:rsidRPr="00B23CCE" w:rsidRDefault="00734824" w:rsidP="00734824">
      <w:pPr>
        <w:pStyle w:val="rvps2"/>
        <w:shd w:val="clear" w:color="auto" w:fill="FFFFFF"/>
        <w:spacing w:before="0" w:after="0" w:line="20" w:lineRule="atLeast"/>
        <w:ind w:firstLine="708"/>
        <w:contextualSpacing/>
        <w:jc w:val="center"/>
        <w:rPr>
          <w:b/>
          <w:sz w:val="28"/>
          <w:szCs w:val="28"/>
        </w:rPr>
      </w:pPr>
    </w:p>
    <w:p w:rsidR="00734824" w:rsidRPr="00B23CCE" w:rsidRDefault="00734824" w:rsidP="00734824">
      <w:pPr>
        <w:pStyle w:val="rvps2"/>
        <w:shd w:val="clear" w:color="auto" w:fill="FFFFFF"/>
        <w:spacing w:before="0" w:after="0" w:line="20" w:lineRule="atLeast"/>
        <w:ind w:firstLine="708"/>
        <w:contextualSpacing/>
        <w:jc w:val="center"/>
        <w:rPr>
          <w:sz w:val="28"/>
          <w:szCs w:val="28"/>
        </w:rPr>
      </w:pPr>
      <w:r w:rsidRPr="00B23CCE">
        <w:rPr>
          <w:b/>
          <w:sz w:val="28"/>
          <w:szCs w:val="28"/>
        </w:rPr>
        <w:t>IV. Вибір найбільш оптимального альтернативного способу досягнення цілей</w:t>
      </w:r>
    </w:p>
    <w:p w:rsidR="00734824" w:rsidRPr="00B23CCE" w:rsidRDefault="00734824" w:rsidP="00734824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Вартість балів оптимального альтернативного способу визначається за чотирибальною системою оцінки ступеня досягнення визначених цілей, де:</w:t>
      </w:r>
    </w:p>
    <w:p w:rsidR="00734824" w:rsidRPr="00B23CCE" w:rsidRDefault="00734824" w:rsidP="00734824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4 – цілі прийняття регуляторного акта, які можуть бути досягнуті повною мірою (проблема більше існувати не буде);</w:t>
      </w:r>
    </w:p>
    <w:p w:rsidR="00734824" w:rsidRPr="00B23CCE" w:rsidRDefault="00734824" w:rsidP="00734824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" w:name="n155"/>
      <w:bookmarkEnd w:id="32"/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 – цілі </w:t>
      </w:r>
      <w:r w:rsidR="00530123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рийняття регуляторного акта, які можуть бути досягнуті майже  повною мірою (усі важливі аспекти проблеми існувати не будуть);</w:t>
      </w:r>
    </w:p>
    <w:p w:rsidR="00734824" w:rsidRPr="00B23CCE" w:rsidRDefault="00734824" w:rsidP="00734824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3" w:name="n156"/>
      <w:bookmarkEnd w:id="33"/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734824" w:rsidRPr="00B23CCE" w:rsidRDefault="00734824" w:rsidP="00734824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4" w:name="n157"/>
      <w:bookmarkEnd w:id="34"/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1 – цілі прийняття регуляторного акта, які не можуть бути досягнуті (проблема продовжує існувати).</w:t>
      </w:r>
    </w:p>
    <w:p w:rsidR="00734824" w:rsidRPr="00B23CCE" w:rsidRDefault="00734824" w:rsidP="00734824">
      <w:pPr>
        <w:spacing w:after="0" w:line="20" w:lineRule="atLeast"/>
        <w:contextualSpacing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2"/>
        <w:gridCol w:w="2352"/>
        <w:gridCol w:w="4665"/>
      </w:tblGrid>
      <w:tr w:rsidR="00734824" w:rsidRPr="00B23CCE" w:rsidTr="004C35D8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35" w:name="n158"/>
            <w:bookmarkEnd w:id="35"/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Коментарі щодо присвоєння відповідного бала</w:t>
            </w:r>
          </w:p>
        </w:tc>
      </w:tr>
      <w:tr w:rsidR="00734824" w:rsidRPr="00B23CCE" w:rsidTr="004C35D8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  <w:p w:rsidR="00734824" w:rsidRPr="00B23CCE" w:rsidRDefault="00734824" w:rsidP="004C35D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3A22B9">
            <w:pPr>
              <w:spacing w:after="0" w:line="20" w:lineRule="atLeast"/>
              <w:ind w:left="45" w:right="132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разі залишення наявної на сьогодні ситуації без змін повноцінне та ефективне застосування організаторами азартних ігор</w:t>
            </w:r>
            <w:r w:rsidR="003A22B9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які не забезпечили неможливість участі в азартних іграх осіб, участь яких в азартній грі заборонена Законом та іншими законами,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454892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механізму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3A22B9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відшкодування фінансової шкоди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буде неможливим. Проблеми, зазначені в розділі І АРВ, не будуть вирішені. </w:t>
            </w:r>
          </w:p>
        </w:tc>
      </w:tr>
      <w:tr w:rsidR="00734824" w:rsidRPr="00B23CCE" w:rsidTr="004C35D8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Альтернатива 2 </w:t>
            </w:r>
          </w:p>
          <w:p w:rsidR="00734824" w:rsidRPr="00B23CCE" w:rsidRDefault="00734824" w:rsidP="004C35D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1F3" w:rsidRPr="00B23CCE" w:rsidRDefault="00734824" w:rsidP="001F31F3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80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9" w:right="1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разі прийняття проєкту </w:t>
            </w:r>
            <w:r w:rsidR="00454892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ішення  буде визначено </w:t>
            </w:r>
            <w:r w:rsidR="001F31F3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порядок</w:t>
            </w:r>
            <w:r w:rsidR="00D03D23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відшкодування фінансової шкоди організаторами азартних ігор, які не забезпечили неможливість участі в </w:t>
            </w:r>
            <w:r w:rsidR="00D03D23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азартних іграх осіб, участь яких в азартній грі заборонена Законом та іншими законами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що сприятиме створенню ефективного механізму </w:t>
            </w:r>
            <w:r w:rsidR="001F31F3"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дотримання організаторами азартних ігор вимог Закону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="0077200F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що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77200F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сприятиме</w:t>
            </w:r>
            <w:r w:rsidR="001F31F3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1F31F3" w:rsidRPr="00B23CC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мінімізаці</w:t>
            </w:r>
            <w:r w:rsidR="0077200F" w:rsidRPr="00B23CC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ї</w:t>
            </w:r>
            <w:r w:rsidR="001F31F3" w:rsidRPr="00B23CC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негативних наслідків участі фізичної особи в азартній грі, створення умов для зниження соціальних ризиків, пов’язаних з організацією та проведенням азартних ігор.</w:t>
            </w:r>
          </w:p>
          <w:p w:rsidR="00734824" w:rsidRPr="00B23CCE" w:rsidRDefault="00734824" w:rsidP="0077200F">
            <w:pPr>
              <w:widowControl w:val="0"/>
              <w:spacing w:after="0" w:line="240" w:lineRule="auto"/>
              <w:ind w:left="129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Проблеми,  зазначені у розділі І АРВ, будуть врегульовані, а цілі досягнені. </w:t>
            </w:r>
          </w:p>
        </w:tc>
      </w:tr>
    </w:tbl>
    <w:p w:rsidR="00734824" w:rsidRPr="00B23CCE" w:rsidRDefault="00734824" w:rsidP="00734824">
      <w:pPr>
        <w:tabs>
          <w:tab w:val="left" w:pos="6513"/>
        </w:tabs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 w:rsidRPr="00B23CCE">
        <w:rPr>
          <w:rFonts w:ascii="Times New Roman" w:hAnsi="Times New Roman" w:cs="Times New Roman"/>
          <w:sz w:val="12"/>
          <w:szCs w:val="12"/>
          <w:lang w:val="uk-UA" w:eastAsia="uk-UA"/>
        </w:rPr>
        <w:lastRenderedPageBreak/>
        <w:tab/>
      </w:r>
    </w:p>
    <w:p w:rsidR="00734824" w:rsidRPr="00B23CCE" w:rsidRDefault="00734824" w:rsidP="00734824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3"/>
        <w:gridCol w:w="2710"/>
        <w:gridCol w:w="2711"/>
        <w:gridCol w:w="2305"/>
      </w:tblGrid>
      <w:tr w:rsidR="00734824" w:rsidRPr="00B23CCE" w:rsidTr="004C35D8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36" w:name="n159"/>
            <w:bookmarkEnd w:id="36"/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Рейтинг </w:t>
            </w:r>
            <w:proofErr w:type="spellStart"/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результатив-ності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Вигоди (підсумок)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 (підсумок)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Обґрунтування відповідного місця альтернативи у рейтингу</w:t>
            </w:r>
          </w:p>
        </w:tc>
      </w:tr>
      <w:tr w:rsidR="00734824" w:rsidRPr="00530123" w:rsidTr="004C35D8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0D5E" w:rsidRPr="00B23CCE" w:rsidRDefault="00720D5E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0D5E" w:rsidRPr="00B23CCE" w:rsidRDefault="00720D5E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0D5E" w:rsidRPr="00B23CCE" w:rsidRDefault="00720D5E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0D5E" w:rsidRPr="00B23CCE" w:rsidRDefault="00720D5E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0D5E" w:rsidRPr="00B23CCE" w:rsidRDefault="00720D5E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5A0C" w:rsidRPr="00B23CCE" w:rsidRDefault="00055A0C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55A0C" w:rsidRPr="00B23CCE" w:rsidRDefault="00055A0C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громадян:</w:t>
            </w: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937FB" w:rsidRPr="00B23CCE" w:rsidRDefault="00F937FB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A752A0" w:rsidRPr="00B23CCE" w:rsidRDefault="00A752A0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суб’єктів господарювання:</w:t>
            </w:r>
          </w:p>
          <w:p w:rsidR="00734824" w:rsidRPr="00B23CCE" w:rsidRDefault="0007610E" w:rsidP="004C35D8">
            <w:pPr>
              <w:spacing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Для держави:</w:t>
            </w:r>
          </w:p>
          <w:p w:rsidR="00056D79" w:rsidRPr="00B23CCE" w:rsidRDefault="00056D79" w:rsidP="00056D79">
            <w:pPr>
              <w:shd w:val="clear" w:color="auto" w:fill="FFFFFF"/>
              <w:suppressAutoHyphens w:val="0"/>
              <w:spacing w:after="0" w:line="240" w:lineRule="auto"/>
              <w:ind w:left="110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Відсутність механізму відшкодування фінансової шкоди організаторами азартних ігор, які не забезпечили неможливість участі в азартних іграх осіб, участь яких в азартній грі заборонена Законом та іншими законами призведе до зменшення відповідальності таких організаторів за порушення вимог Закону. </w:t>
            </w:r>
          </w:p>
          <w:p w:rsidR="0021604E" w:rsidRPr="00B23CCE" w:rsidRDefault="00056D79" w:rsidP="00056D79">
            <w:pPr>
              <w:spacing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свою чергу, це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призведе до незахищеності населення від негативного впливу азартних ігор. Як наслідок, це може призвести до посилення вимог щодо відновлення заборони грального бізнесу в Україні, в результаті чого держава втратить надходжень до бюджету на 1,5 млрд</w:t>
            </w:r>
            <w:r w:rsidR="0075119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грн</w:t>
            </w:r>
            <w:proofErr w:type="spellEnd"/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щороку.</w:t>
            </w:r>
          </w:p>
          <w:p w:rsidR="0021604E" w:rsidRPr="00B23CCE" w:rsidRDefault="0021604E" w:rsidP="00056D79">
            <w:pPr>
              <w:spacing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громадян:</w:t>
            </w:r>
          </w:p>
          <w:p w:rsidR="00A752A0" w:rsidRPr="00B23CCE" w:rsidRDefault="00A752A0" w:rsidP="00A752A0">
            <w:pPr>
              <w:widowControl w:val="0"/>
              <w:spacing w:after="0" w:line="240" w:lineRule="auto"/>
              <w:ind w:left="132" w:right="130" w:hanging="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 механізму відшкодування фінансової шкоди організаторами азартних ігор, які не забезпечили неможливість участі в азартних іграх осіб, участь яких в азартній грі заборонена Законом та іншими законами, призведе до незахищеності таких осіб від негативного впливу азартних ігор.</w:t>
            </w:r>
          </w:p>
          <w:p w:rsidR="00F937FB" w:rsidRPr="00B23CCE" w:rsidRDefault="00A752A0" w:rsidP="00A752A0">
            <w:pPr>
              <w:spacing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неприйняття проєкту рішення зростає імовірність створення умов підвищення соціальних ризиків,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пов’язаних з організацією та проведенням азартних ігор, збільшення суспільної шкоди пов’язаної з азартними іграми.</w:t>
            </w:r>
            <w:r w:rsidR="00F937FB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752A0" w:rsidRPr="00B23CCE" w:rsidRDefault="00A752A0" w:rsidP="004C35D8">
            <w:pPr>
              <w:spacing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:rsidR="00B938DE" w:rsidRPr="00B23CCE" w:rsidRDefault="00B938DE" w:rsidP="00B938DE">
            <w:pPr>
              <w:widowControl w:val="0"/>
              <w:spacing w:after="0" w:line="240" w:lineRule="auto"/>
              <w:ind w:left="132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</w:t>
            </w:r>
            <w:r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порядку відшкодування фінансової шкоди організаторами азартних ігор, які не забезпечили неможливість участі в азартних іграх осіб, участь яких в азартній грі заборонена Законом та іншими законами</w:t>
            </w:r>
            <w:r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призведе до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неефективного функціонування механізму такого відшкодування. Це, в свою чергу, призведе до незахищеності прав і свобод громадян,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репутаційних втрат організаторів та посилення вимог щодо відновлення заборони грального бізнесу в Україні.</w:t>
            </w:r>
          </w:p>
          <w:p w:rsidR="00734824" w:rsidRPr="00B23CCE" w:rsidRDefault="00B938DE" w:rsidP="00B938DE">
            <w:pPr>
              <w:spacing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Крім того, відсутність механізму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відшкодування фінансової шкоди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особам, участь яких в азартній грі заборонена Законом та іншими законами</w:t>
            </w:r>
            <w:r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може призвести до зловживань правом таких осіб на відшкодування у вигляді десятикратного розміру програшу та можливою необачливістю організатора азартних ігор з метою отримання прибутку.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ind w:left="133" w:right="15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Залишення ситуації, яка існує на сьогодні, не вирішує зазначені в розділі І АРВ проблеми та не сприяє досягненню мети державної політики у сфері організації та проведення азартних ігор, а саме, створення умов для зниження соціальних ризиків,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пов’язаних з їх організацією та проведенням азартних ігор.</w:t>
            </w:r>
          </w:p>
        </w:tc>
      </w:tr>
      <w:tr w:rsidR="00734824" w:rsidRPr="00530123" w:rsidTr="004C35D8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531F24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:rsidR="00531F24" w:rsidRPr="00B23CCE" w:rsidRDefault="00531F24" w:rsidP="00531F24">
            <w:pPr>
              <w:spacing w:after="0" w:line="20" w:lineRule="atLeast"/>
              <w:ind w:left="134" w:right="127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Прийняття регуляторного акта забезпечить: </w:t>
            </w:r>
          </w:p>
          <w:p w:rsidR="00531F24" w:rsidRPr="00B23CCE" w:rsidRDefault="00531F24" w:rsidP="00531F24">
            <w:pPr>
              <w:pStyle w:val="a8"/>
              <w:numPr>
                <w:ilvl w:val="0"/>
                <w:numId w:val="3"/>
              </w:numPr>
              <w:tabs>
                <w:tab w:val="left" w:pos="430"/>
              </w:tabs>
              <w:spacing w:after="0" w:line="20" w:lineRule="atLeast"/>
              <w:ind w:left="134" w:right="12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виконання вимог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Закону;</w:t>
            </w:r>
          </w:p>
          <w:p w:rsidR="00531F24" w:rsidRPr="00B23CCE" w:rsidRDefault="00531F24" w:rsidP="00512053">
            <w:pPr>
              <w:pStyle w:val="a8"/>
              <w:numPr>
                <w:ilvl w:val="0"/>
                <w:numId w:val="3"/>
              </w:numPr>
              <w:spacing w:after="0" w:line="20" w:lineRule="atLeast"/>
              <w:ind w:left="214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створення ефективного механізму </w:t>
            </w:r>
            <w:r w:rsidR="00B22137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відповідальності організаторів азартних ігор за бездіяльність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531F24" w:rsidRPr="00B23CCE" w:rsidRDefault="00531F24" w:rsidP="00B22137">
            <w:pPr>
              <w:pStyle w:val="a8"/>
              <w:numPr>
                <w:ilvl w:val="0"/>
                <w:numId w:val="3"/>
              </w:numPr>
              <w:spacing w:after="0" w:line="20" w:lineRule="atLeast"/>
              <w:ind w:left="214" w:right="131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зменшення суспільної шкоди, пов’язаної з азартними іграми. </w:t>
            </w:r>
          </w:p>
          <w:p w:rsidR="00531F24" w:rsidRPr="00B23CCE" w:rsidRDefault="00531F24" w:rsidP="00531F24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734824" w:rsidRPr="00B23CCE" w:rsidRDefault="00734824" w:rsidP="00531F24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громадян:</w:t>
            </w:r>
          </w:p>
          <w:p w:rsidR="00A93982" w:rsidRPr="00B23CCE" w:rsidRDefault="00A93982" w:rsidP="00A93982">
            <w:pPr>
              <w:spacing w:after="0" w:line="240" w:lineRule="auto"/>
              <w:ind w:left="72" w:right="144" w:firstLine="26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Прийняття проєкту рішення забезпечить дотримання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організаторами азартних ігор, які не забезпечили неможливість участі в азартних іграх осіб, участь яких в азартній грі заборонена Законом та іншими законами, вимог Закону щодо відшкодування фінансової шкоди. </w:t>
            </w:r>
          </w:p>
          <w:p w:rsidR="00A93982" w:rsidRPr="00B23CCE" w:rsidRDefault="00A93982" w:rsidP="00A93982">
            <w:pPr>
              <w:spacing w:after="0" w:line="240" w:lineRule="auto"/>
              <w:ind w:left="72" w:right="144" w:firstLine="26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результаті особи, в разі їх участі в азартних іграх матимуть можливість:</w:t>
            </w:r>
          </w:p>
          <w:p w:rsidR="00A93982" w:rsidRPr="00B23CCE" w:rsidRDefault="00A93982" w:rsidP="00A93982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97" w:right="14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звернутися для захисту своїх прав та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отримати</w:t>
            </w:r>
            <w:r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гарантію того, що організатор азартних ігор не буде звільнений від відповідальності за бездіяльність;</w:t>
            </w:r>
          </w:p>
          <w:p w:rsidR="00734824" w:rsidRPr="00B23CCE" w:rsidRDefault="00A93982" w:rsidP="00A93982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97" w:right="14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мінімізувати негативний вплив азартних ігор, отримати відчуття впевненості та  захищеності від бездіяльності організатора азартних ігор.</w:t>
            </w:r>
          </w:p>
          <w:p w:rsidR="00734824" w:rsidRPr="00B23CCE" w:rsidRDefault="00734824" w:rsidP="00531F24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:rsidR="002C3C0D" w:rsidRPr="00B23CCE" w:rsidRDefault="002C3C0D" w:rsidP="002C3C0D">
            <w:pPr>
              <w:spacing w:after="0" w:line="20" w:lineRule="atLeast"/>
              <w:ind w:left="134" w:right="128" w:firstLine="28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Прийняття проєкту рішення забезпечить:</w:t>
            </w:r>
          </w:p>
          <w:p w:rsidR="002C3C0D" w:rsidRPr="00B23CCE" w:rsidRDefault="002C3C0D" w:rsidP="002C3C0D">
            <w:pPr>
              <w:pStyle w:val="a8"/>
              <w:numPr>
                <w:ilvl w:val="0"/>
                <w:numId w:val="14"/>
              </w:numPr>
              <w:tabs>
                <w:tab w:val="left" w:pos="412"/>
              </w:tabs>
              <w:spacing w:after="0" w:line="20" w:lineRule="atLeast"/>
              <w:ind w:left="127" w:right="128" w:firstLine="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виконання обов’язків організатора азартних ігор дотримуватися вимог Закону щодо недопущення до участі в азартних іграх осіб, яким така участь заборонена Законом та іншими законами; </w:t>
            </w:r>
          </w:p>
          <w:p w:rsidR="002C3C0D" w:rsidRPr="00B23CCE" w:rsidRDefault="002C3C0D" w:rsidP="002C3C0D">
            <w:pPr>
              <w:pStyle w:val="a8"/>
              <w:numPr>
                <w:ilvl w:val="0"/>
                <w:numId w:val="14"/>
              </w:numPr>
              <w:shd w:val="clear" w:color="auto" w:fill="FFFFFF"/>
              <w:tabs>
                <w:tab w:val="left" w:pos="412"/>
              </w:tabs>
              <w:suppressAutoHyphens w:val="0"/>
              <w:spacing w:after="0" w:line="240" w:lineRule="auto"/>
              <w:ind w:left="127" w:right="126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застосування чіткого та єдиного для всіх організаторів азартних ігор порядку дій; </w:t>
            </w:r>
          </w:p>
          <w:p w:rsidR="00734824" w:rsidRPr="00B23CCE" w:rsidRDefault="002C3C0D" w:rsidP="002C3C0D">
            <w:pPr>
              <w:pStyle w:val="a8"/>
              <w:tabs>
                <w:tab w:val="left" w:pos="430"/>
              </w:tabs>
              <w:spacing w:after="0" w:line="20" w:lineRule="atLeast"/>
              <w:ind w:left="134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сприяння формуванню іміджу надійного та відповідального організатора азартних ігор.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Для держави:</w:t>
            </w: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вимог регуляторного акта не передбачає бюджетних витрат.</w:t>
            </w: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громадян:</w:t>
            </w: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Відсутні</w:t>
            </w: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531F24" w:rsidRPr="00B23CCE" w:rsidRDefault="00531F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 w:eastAsia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суб’єктів господарювання:</w:t>
            </w:r>
          </w:p>
          <w:p w:rsidR="00734824" w:rsidRPr="00B23CCE" w:rsidRDefault="00FE60D6" w:rsidP="000B66AD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Витрати суб’єктів господарювання на виконання вимог проєкту рішення </w:t>
            </w:r>
            <w:r w:rsidR="0096365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орієнтовно складуть</w:t>
            </w:r>
            <w:r w:rsidR="00734824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0B66AD" w:rsidRPr="000B66A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 тис</w:t>
            </w:r>
            <w:r w:rsidR="00734824" w:rsidRPr="000B66A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734824" w:rsidRPr="000B66A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грн</w:t>
            </w:r>
            <w:proofErr w:type="spellEnd"/>
            <w:r w:rsidR="00734824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на одного суб’єкта господарювання, що отримав ліцензію на провадження діяльності з організації та проведення азартних ігор у гральних закладах.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A93982">
            <w:pPr>
              <w:spacing w:after="0" w:line="20" w:lineRule="atLeast"/>
              <w:ind w:left="3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Повністю вирішує проблему. Цей спосіб забезпечить</w:t>
            </w:r>
          </w:p>
          <w:p w:rsidR="00A93982" w:rsidRPr="00B23CCE" w:rsidRDefault="00734824" w:rsidP="00A939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ефективного механізму </w:t>
            </w:r>
            <w:r w:rsidR="00B22137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відшкодування фінансової шкоди організаторами азартних ігор, які не забезпечили неможливість участі в азартних іграх осіб, участь яких в азартній грі заборонена Законом та іншими законами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 також </w:t>
            </w:r>
            <w:r w:rsidR="00FE60D6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сприятиме </w:t>
            </w:r>
            <w:r w:rsidR="00642920"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мінімізації негативних наслідків участі</w:t>
            </w:r>
            <w:r w:rsidR="00A93982" w:rsidRPr="00B23CCE">
              <w:rPr>
                <w:sz w:val="28"/>
                <w:szCs w:val="28"/>
                <w:lang w:val="uk-UA"/>
              </w:rPr>
              <w:t xml:space="preserve"> </w:t>
            </w:r>
            <w:r w:rsidR="00A93982" w:rsidRPr="00B23CC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 фізичної особи в азартній грі, створенню умов для зниження соціальних ризиків, пов’язаних з організацією та проведенням азартних ігор.</w:t>
            </w:r>
          </w:p>
          <w:p w:rsidR="00734824" w:rsidRPr="00B23CCE" w:rsidRDefault="00642920" w:rsidP="004C35D8">
            <w:pPr>
              <w:spacing w:after="0" w:line="20" w:lineRule="atLeast"/>
              <w:ind w:left="132" w:right="13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34824" w:rsidRPr="00B23CCE" w:rsidRDefault="00734824" w:rsidP="004C35D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4824" w:rsidRPr="00B23CCE" w:rsidRDefault="00734824" w:rsidP="004C35D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34824" w:rsidRPr="00B23CCE" w:rsidRDefault="00734824" w:rsidP="00734824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7" w:name="n160"/>
      <w:bookmarkEnd w:id="37"/>
    </w:p>
    <w:tbl>
      <w:tblPr>
        <w:tblW w:w="499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5"/>
        <w:gridCol w:w="4291"/>
        <w:gridCol w:w="3118"/>
      </w:tblGrid>
      <w:tr w:rsidR="00734824" w:rsidRPr="00B23CCE" w:rsidTr="00531F2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Рейтинг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24" w:rsidRPr="00B23CCE" w:rsidRDefault="00734824" w:rsidP="004C35D8">
            <w:pPr>
              <w:spacing w:after="0" w:line="20" w:lineRule="atLeast"/>
              <w:ind w:left="139" w:right="15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734824" w:rsidRPr="00B23CCE" w:rsidTr="00531F2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Альтернатива 1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3C1940">
            <w:pPr>
              <w:spacing w:after="0" w:line="20" w:lineRule="atLeast"/>
              <w:ind w:left="60" w:right="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Залишення наявної на сьогодні ситуації без змін не забезпечить досягнення визначених цілей. Зазначені в розділі І АРВ проблеми не будуть вирішені. Відсутність </w:t>
            </w:r>
            <w:r w:rsidR="003C1940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дієвого механізму </w:t>
            </w:r>
            <w:r w:rsidR="002C3C0D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відшкодування фінансової шкоди організаторами азартних ігор, які не забезпечили неможливість участі в азартних іграх осіб, участь яких в азартній грі заборонена Законом та іншими </w:t>
            </w:r>
            <w:r w:rsidR="002C3C0D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законами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лише сприятиме збільшенню соціальних ризиків, пов’язаних з їх організацією та проведенням азартних ігор.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ind w:left="154" w:right="1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Зовнішні чинники, що впливатимуть на дію регуляторного акта, відсутні.</w:t>
            </w:r>
          </w:p>
        </w:tc>
      </w:tr>
      <w:tr w:rsidR="00734824" w:rsidRPr="00B23CCE" w:rsidTr="00531F2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2C3C0D">
            <w:pPr>
              <w:widowControl w:val="0"/>
              <w:spacing w:after="0" w:line="240" w:lineRule="auto"/>
              <w:ind w:left="63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Прийняття акта у повному обсязі забезпечить досягнення задекларованих цілей, поставленої мети та є єдиним обґрунтованим  способом вирішення проблеми. Обрання альтернативи 2 зумовлене тим, що прийняття запропонованого </w:t>
            </w:r>
            <w:r w:rsidR="003C1940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проекту р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ішення забезпечить  </w:t>
            </w:r>
            <w:r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створення нормативно-правового підґрунтя для застосування </w:t>
            </w:r>
            <w:r w:rsidR="003C1940" w:rsidRPr="00B23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механізму </w:t>
            </w:r>
            <w:r w:rsidR="002C3C0D"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відшкодування фінансової шкоди організаторами азартних ігор, які не забезпечили неможливість участі в азартних іграх осіб, участь яких в азартній грі заборонена Законом та іншими законами</w:t>
            </w:r>
            <w:r w:rsidR="002C3C0D" w:rsidRPr="00B23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23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та, як наслідок, </w:t>
            </w:r>
            <w:r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зменшення суспільної шкоди, пов’язаної з азартними іграми, підвищення рівня захисту </w:t>
            </w:r>
            <w:r w:rsidRPr="00B2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прав, законних інтересів, життя та здоров’я громадян</w:t>
            </w:r>
            <w:r w:rsidRPr="00B23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24" w:rsidRPr="00B23CCE" w:rsidRDefault="00734824" w:rsidP="004C35D8">
            <w:pPr>
              <w:spacing w:after="0" w:line="20" w:lineRule="atLeast"/>
              <w:ind w:left="154" w:right="1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Зовнішні чинники, що впливатимуть на дію регуляторного акта, відсутні.</w:t>
            </w:r>
          </w:p>
        </w:tc>
      </w:tr>
    </w:tbl>
    <w:p w:rsidR="00734824" w:rsidRPr="00B23CCE" w:rsidRDefault="00734824" w:rsidP="00734824">
      <w:pPr>
        <w:pStyle w:val="a3"/>
        <w:spacing w:after="0" w:line="20" w:lineRule="atLeast"/>
        <w:ind w:firstLine="720"/>
        <w:contextualSpacing/>
        <w:jc w:val="center"/>
        <w:rPr>
          <w:sz w:val="28"/>
          <w:szCs w:val="28"/>
        </w:rPr>
      </w:pPr>
    </w:p>
    <w:p w:rsidR="00734824" w:rsidRPr="00B23CCE" w:rsidRDefault="00734824" w:rsidP="00734824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38" w:name="n161"/>
      <w:bookmarkStart w:id="39" w:name="n152"/>
      <w:bookmarkEnd w:id="38"/>
      <w:bookmarkEnd w:id="39"/>
      <w:r w:rsidRPr="00B23CC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V. Механізми та заходи, які забезпечать розв’язання визначеної проблеми</w:t>
      </w:r>
    </w:p>
    <w:p w:rsidR="00734824" w:rsidRPr="00B23CCE" w:rsidRDefault="00734824" w:rsidP="00B23CCE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40" w:name="n163"/>
      <w:bookmarkStart w:id="41" w:name="n162"/>
      <w:bookmarkEnd w:id="40"/>
      <w:bookmarkEnd w:id="41"/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Для досягнення цілей, визначених у розділі ІІ АРВ, проєктом рішення передбачено механізм розв’язання проблеми, наведеної у розділі І АРВ, а саме:</w:t>
      </w:r>
    </w:p>
    <w:p w:rsidR="00B23CCE" w:rsidRPr="00B23CCE" w:rsidRDefault="00B23CCE" w:rsidP="00B23CCE">
      <w:pPr>
        <w:pStyle w:val="a8"/>
        <w:numPr>
          <w:ilvl w:val="0"/>
          <w:numId w:val="24"/>
        </w:numPr>
        <w:spacing w:after="0" w:line="240" w:lineRule="auto"/>
        <w:ind w:left="0" w:right="-81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перелік відомостей, що має містити вимога про відшкодування фінансової шкоди, яка подається особою, участь якої в азартній грі заборонена Законом та іншими законами або членом сім’ї/законним представником такої особи до організатора азартних ігор;</w:t>
      </w:r>
    </w:p>
    <w:p w:rsidR="00B23CCE" w:rsidRPr="00B23CCE" w:rsidRDefault="00B23CCE" w:rsidP="00B23CCE">
      <w:pPr>
        <w:pStyle w:val="a8"/>
        <w:numPr>
          <w:ilvl w:val="0"/>
          <w:numId w:val="24"/>
        </w:numPr>
        <w:spacing w:after="0" w:line="240" w:lineRule="auto"/>
        <w:ind w:left="0" w:right="-81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можливість інформування КРАІЛ особою, участь якої в азартній грі заборонена Законом та іншими законами або членом сім’ї/законним представником такої особи про звернення з вимогою до організатора азартних ігор про відшкодування фінансової шкоди;</w:t>
      </w:r>
    </w:p>
    <w:p w:rsidR="00B23CCE" w:rsidRPr="00B23CCE" w:rsidRDefault="00B23CCE" w:rsidP="00B23CCE">
      <w:pPr>
        <w:pStyle w:val="a8"/>
        <w:numPr>
          <w:ilvl w:val="0"/>
          <w:numId w:val="24"/>
        </w:numPr>
        <w:spacing w:after="0" w:line="240" w:lineRule="auto"/>
        <w:ind w:left="0" w:right="-81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строки розгляду організатором азартних ігор вимоги про відшкодування фінансової шкоди та прийняття обґрунтованих рішень про </w:t>
      </w: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відшкодування фінансової шкоди або про відсутність підстав для такого відшкодування;</w:t>
      </w:r>
    </w:p>
    <w:p w:rsidR="00B23CCE" w:rsidRPr="00B23CCE" w:rsidRDefault="00B23CCE" w:rsidP="00B23CCE">
      <w:pPr>
        <w:pStyle w:val="a8"/>
        <w:numPr>
          <w:ilvl w:val="0"/>
          <w:numId w:val="24"/>
        </w:numPr>
        <w:spacing w:after="0" w:line="240" w:lineRule="auto"/>
        <w:ind w:left="0" w:right="-81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обов’язок організатора азартних ігор повідомляти особу, яка звернулася з вимогою, та КРАІЛ про прийняте рішення щодо відшкодування фінансової шкоди; </w:t>
      </w:r>
    </w:p>
    <w:p w:rsidR="00B23CCE" w:rsidRPr="00B23CCE" w:rsidRDefault="00B23CCE" w:rsidP="00B23CCE">
      <w:pPr>
        <w:pStyle w:val="a8"/>
        <w:numPr>
          <w:ilvl w:val="0"/>
          <w:numId w:val="24"/>
        </w:numPr>
        <w:spacing w:after="0" w:line="240" w:lineRule="auto"/>
        <w:ind w:left="0" w:right="-81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строк протягом якого здійснюється відшкодування фінансової шкоди організатором азартних ігор.</w:t>
      </w:r>
    </w:p>
    <w:p w:rsidR="00331D45" w:rsidRDefault="00734824" w:rsidP="00331D45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Такий механізм обумовлений тим, що </w:t>
      </w:r>
      <w:r w:rsidR="00331D45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331D45" w:rsidRPr="00B23CCE">
        <w:rPr>
          <w:rFonts w:ascii="Times New Roman" w:hAnsi="Times New Roman" w:cs="Times New Roman"/>
          <w:sz w:val="28"/>
          <w:szCs w:val="28"/>
          <w:lang w:val="uk-UA" w:eastAsia="uk-UA"/>
        </w:rPr>
        <w:t>бзац</w:t>
      </w:r>
      <w:r w:rsidR="00331D45">
        <w:rPr>
          <w:rFonts w:ascii="Times New Roman" w:hAnsi="Times New Roman" w:cs="Times New Roman"/>
          <w:sz w:val="28"/>
          <w:szCs w:val="28"/>
          <w:lang w:val="uk-UA" w:eastAsia="uk-UA"/>
        </w:rPr>
        <w:t>ом другим</w:t>
      </w:r>
      <w:r w:rsidR="00331D45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пункту 3 частини другої статті 16 Закону, встановлено, що організатор азартних ігор, який не забезпечив неможливість участі в азартних іграх осіб, участь яких в таких іграх заборонена цим та іншими законами, зобов’язаний відшкодувати таким особам на їх вимогу або на вимогу членів сім’ї таких осіб фінансову шкоду в розмірі десятикратного розміру програшу, що заподіяна зазначеним особам внаслідок такої бездіяльності організатора азартних ігор</w:t>
      </w:r>
      <w:r w:rsidR="00331D4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734824" w:rsidRPr="00B23CCE" w:rsidRDefault="00734824" w:rsidP="00331D45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/>
        </w:rPr>
        <w:t xml:space="preserve">Дія регуляторного акта поширюватиметься на організаторів азартних ігор. </w:t>
      </w:r>
    </w:p>
    <w:p w:rsidR="00734824" w:rsidRPr="00B23CCE" w:rsidRDefault="00734824" w:rsidP="00734824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/>
        </w:rPr>
        <w:t>Впливу зовнішніх факторів на дію регуляторного акта не очікується.</w:t>
      </w:r>
    </w:p>
    <w:p w:rsidR="005D60DF" w:rsidRPr="00B23CCE" w:rsidRDefault="005D60DF" w:rsidP="00734824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34824" w:rsidRPr="00B23CCE" w:rsidRDefault="00734824" w:rsidP="00734824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734824" w:rsidRPr="00B23CCE" w:rsidRDefault="00734824" w:rsidP="00734824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sz w:val="28"/>
          <w:szCs w:val="28"/>
        </w:rPr>
      </w:pPr>
      <w:r w:rsidRPr="00B23CCE">
        <w:rPr>
          <w:sz w:val="28"/>
          <w:szCs w:val="28"/>
        </w:rPr>
        <w:t>Реалізація проєкту рішення не потребує фінансування з Державного бюджету України. Досягнення цілей не передбачає додаткових витрат і ресурсів на адміністрування регулювання органами виконавчої влади чи органами місцевого</w:t>
      </w:r>
      <w:r w:rsidR="00C830EA" w:rsidRPr="00B23CCE">
        <w:rPr>
          <w:sz w:val="28"/>
          <w:szCs w:val="28"/>
        </w:rPr>
        <w:t xml:space="preserve"> </w:t>
      </w:r>
      <w:r w:rsidRPr="00B23CCE">
        <w:rPr>
          <w:sz w:val="28"/>
          <w:szCs w:val="28"/>
        </w:rPr>
        <w:t>самоврядування.</w:t>
      </w:r>
    </w:p>
    <w:p w:rsidR="00734824" w:rsidRPr="00B23CCE" w:rsidRDefault="00734824" w:rsidP="00734824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sz w:val="28"/>
          <w:szCs w:val="28"/>
        </w:rPr>
      </w:pPr>
      <w:r w:rsidRPr="00B23CCE">
        <w:rPr>
          <w:sz w:val="28"/>
          <w:szCs w:val="28"/>
        </w:rPr>
        <w:t>Витрати суб’єктів великого та середнього підприємництва, які виникають внаслідок дії регуляторного акта, розраховано згідно з додатком 2 до Методики проведення аналізу впливу регуляторного акта (додається).</w:t>
      </w:r>
    </w:p>
    <w:p w:rsidR="00734824" w:rsidRPr="00B23CCE" w:rsidRDefault="00734824" w:rsidP="00734824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sz w:val="28"/>
          <w:szCs w:val="28"/>
        </w:rPr>
      </w:pPr>
      <w:r w:rsidRPr="00B23CCE">
        <w:rPr>
          <w:sz w:val="28"/>
          <w:szCs w:val="28"/>
        </w:rPr>
        <w:t xml:space="preserve">Дія регуляторного акта не поширюється на суб’єктів малого підприємництва,  а, отже, </w:t>
      </w:r>
      <w:r w:rsidRPr="00B23CCE">
        <w:rPr>
          <w:sz w:val="28"/>
          <w:szCs w:val="28"/>
          <w:shd w:val="clear" w:color="auto" w:fill="FFFFFF"/>
        </w:rPr>
        <w:t>розрахунок витрат на запровадження державного регулювання для суб’єктів малого проводився згідно з М-Тестом (додається) не проводився.</w:t>
      </w:r>
    </w:p>
    <w:p w:rsidR="005D60DF" w:rsidRPr="00B23CCE" w:rsidRDefault="005D60DF" w:rsidP="00734824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34824" w:rsidRPr="00B23CCE" w:rsidRDefault="00734824" w:rsidP="00734824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VII. Обґрунтування запропонованого строку дії регуляторного акта</w:t>
      </w:r>
    </w:p>
    <w:p w:rsidR="00734824" w:rsidRPr="00B23CCE" w:rsidRDefault="00734824" w:rsidP="00734824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bCs/>
          <w:sz w:val="28"/>
          <w:szCs w:val="28"/>
        </w:rPr>
      </w:pPr>
      <w:bookmarkStart w:id="42" w:name="n168"/>
      <w:bookmarkStart w:id="43" w:name="n167"/>
      <w:bookmarkEnd w:id="42"/>
      <w:bookmarkEnd w:id="43"/>
      <w:r w:rsidRPr="00B23CCE">
        <w:rPr>
          <w:bCs/>
          <w:sz w:val="28"/>
          <w:szCs w:val="28"/>
        </w:rPr>
        <w:t>Термін дії нормативно-правового акта не</w:t>
      </w:r>
      <w:r w:rsidR="00BF389B" w:rsidRPr="00B23CCE">
        <w:rPr>
          <w:bCs/>
          <w:sz w:val="28"/>
          <w:szCs w:val="28"/>
        </w:rPr>
        <w:t xml:space="preserve"> </w:t>
      </w:r>
      <w:r w:rsidRPr="00B23CCE">
        <w:rPr>
          <w:bCs/>
          <w:sz w:val="28"/>
          <w:szCs w:val="28"/>
        </w:rPr>
        <w:t>обмежений у часі.</w:t>
      </w:r>
    </w:p>
    <w:p w:rsidR="00734824" w:rsidRPr="00B23CCE" w:rsidRDefault="00734824" w:rsidP="00734824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bCs/>
          <w:sz w:val="28"/>
          <w:szCs w:val="28"/>
        </w:rPr>
      </w:pPr>
      <w:r w:rsidRPr="00B23CCE">
        <w:rPr>
          <w:bCs/>
          <w:sz w:val="28"/>
          <w:szCs w:val="28"/>
        </w:rPr>
        <w:t>Термін набрання чинності регуляторним актом – відповідно до вимог законодавства після його офіційного оприлюднення.</w:t>
      </w:r>
    </w:p>
    <w:p w:rsidR="00734824" w:rsidRPr="00B23CCE" w:rsidRDefault="00734824" w:rsidP="00734824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bCs/>
          <w:sz w:val="12"/>
          <w:szCs w:val="12"/>
        </w:rPr>
      </w:pPr>
    </w:p>
    <w:p w:rsidR="00734824" w:rsidRPr="00B23CCE" w:rsidRDefault="00734824" w:rsidP="00734824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VIII. Визначення показників результативності дії регуляторного акта</w:t>
      </w:r>
    </w:p>
    <w:p w:rsidR="00734824" w:rsidRPr="00B23CCE" w:rsidRDefault="00734824" w:rsidP="00734824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/>
        </w:rPr>
        <w:t>Показниками результативності регуляторного акта є:</w:t>
      </w:r>
    </w:p>
    <w:p w:rsidR="00734824" w:rsidRPr="00B23CCE" w:rsidRDefault="00734824" w:rsidP="00734824">
      <w:pPr>
        <w:pStyle w:val="rvps2"/>
        <w:numPr>
          <w:ilvl w:val="0"/>
          <w:numId w:val="7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r w:rsidRPr="00B23CCE">
        <w:rPr>
          <w:sz w:val="28"/>
          <w:szCs w:val="28"/>
        </w:rPr>
        <w:t>розмір надходжень до державного та місцевих бюджетів і державних цільових фондів, пов’язаних з дією акта – не передбачається;</w:t>
      </w:r>
    </w:p>
    <w:p w:rsidR="00734824" w:rsidRPr="00B23CCE" w:rsidRDefault="00734824" w:rsidP="00734824">
      <w:pPr>
        <w:pStyle w:val="rvps2"/>
        <w:numPr>
          <w:ilvl w:val="0"/>
          <w:numId w:val="7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bookmarkStart w:id="44" w:name="n36"/>
      <w:bookmarkEnd w:id="44"/>
      <w:r w:rsidRPr="00B23CCE">
        <w:rPr>
          <w:sz w:val="28"/>
          <w:szCs w:val="28"/>
        </w:rPr>
        <w:lastRenderedPageBreak/>
        <w:t xml:space="preserve">кількість суб’єктів господарювання, на яких поширюватиметься дія </w:t>
      </w:r>
      <w:r w:rsidR="00C830EA" w:rsidRPr="00B23CCE">
        <w:rPr>
          <w:sz w:val="28"/>
          <w:szCs w:val="28"/>
        </w:rPr>
        <w:t xml:space="preserve">            </w:t>
      </w:r>
      <w:r w:rsidRPr="00B23CCE">
        <w:rPr>
          <w:sz w:val="28"/>
          <w:szCs w:val="28"/>
        </w:rPr>
        <w:t xml:space="preserve">акта – </w:t>
      </w:r>
      <w:r w:rsidR="00C830EA" w:rsidRPr="00B23CCE">
        <w:rPr>
          <w:sz w:val="28"/>
          <w:szCs w:val="28"/>
        </w:rPr>
        <w:t>4</w:t>
      </w:r>
      <w:r w:rsidR="009A56E6" w:rsidRPr="00B23CCE">
        <w:rPr>
          <w:sz w:val="28"/>
          <w:szCs w:val="28"/>
        </w:rPr>
        <w:t>9</w:t>
      </w:r>
      <w:r w:rsidR="00C830EA" w:rsidRPr="00B23CCE">
        <w:rPr>
          <w:sz w:val="28"/>
          <w:szCs w:val="28"/>
        </w:rPr>
        <w:t xml:space="preserve"> </w:t>
      </w:r>
      <w:r w:rsidRPr="00B23CCE">
        <w:rPr>
          <w:sz w:val="28"/>
          <w:szCs w:val="28"/>
        </w:rPr>
        <w:t>суб’єкт</w:t>
      </w:r>
      <w:r w:rsidR="009A56E6" w:rsidRPr="00B23CCE">
        <w:rPr>
          <w:sz w:val="28"/>
          <w:szCs w:val="28"/>
        </w:rPr>
        <w:t>ів</w:t>
      </w:r>
      <w:r w:rsidRPr="00B23CCE">
        <w:rPr>
          <w:sz w:val="28"/>
          <w:szCs w:val="28"/>
        </w:rPr>
        <w:t xml:space="preserve"> господарювання станом на 01.0</w:t>
      </w:r>
      <w:r w:rsidR="005721E8">
        <w:rPr>
          <w:sz w:val="28"/>
          <w:szCs w:val="28"/>
        </w:rPr>
        <w:t>8</w:t>
      </w:r>
      <w:r w:rsidRPr="00B23CCE">
        <w:rPr>
          <w:sz w:val="28"/>
          <w:szCs w:val="28"/>
        </w:rPr>
        <w:t>.202</w:t>
      </w:r>
      <w:r w:rsidR="00C830EA" w:rsidRPr="00B23CCE">
        <w:rPr>
          <w:sz w:val="28"/>
          <w:szCs w:val="28"/>
        </w:rPr>
        <w:t>2</w:t>
      </w:r>
      <w:r w:rsidRPr="00B23CCE">
        <w:rPr>
          <w:sz w:val="28"/>
          <w:szCs w:val="28"/>
        </w:rPr>
        <w:t>;</w:t>
      </w:r>
    </w:p>
    <w:p w:rsidR="00734824" w:rsidRPr="00B23CCE" w:rsidRDefault="00734824" w:rsidP="00734824">
      <w:pPr>
        <w:pStyle w:val="rvps2"/>
        <w:numPr>
          <w:ilvl w:val="0"/>
          <w:numId w:val="7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bookmarkStart w:id="45" w:name="n37"/>
      <w:bookmarkEnd w:id="45"/>
      <w:r w:rsidRPr="00B23CCE">
        <w:rPr>
          <w:sz w:val="28"/>
          <w:szCs w:val="28"/>
        </w:rPr>
        <w:t>розмір коштів і час, що витрачатимуться суб’єктами господарювання, пов’язаними з виконанням вимог акта –</w:t>
      </w:r>
      <w:r w:rsidR="00BF389B" w:rsidRPr="00B23CCE">
        <w:rPr>
          <w:sz w:val="28"/>
          <w:szCs w:val="28"/>
        </w:rPr>
        <w:t xml:space="preserve"> </w:t>
      </w:r>
      <w:r w:rsidR="000B66AD" w:rsidRPr="000B66AD">
        <w:rPr>
          <w:sz w:val="28"/>
          <w:szCs w:val="28"/>
        </w:rPr>
        <w:t>30 тис</w:t>
      </w:r>
      <w:r w:rsidRPr="000B66AD">
        <w:rPr>
          <w:sz w:val="28"/>
          <w:szCs w:val="28"/>
        </w:rPr>
        <w:t xml:space="preserve"> </w:t>
      </w:r>
      <w:proofErr w:type="spellStart"/>
      <w:r w:rsidRPr="000B66AD">
        <w:rPr>
          <w:sz w:val="28"/>
          <w:szCs w:val="28"/>
        </w:rPr>
        <w:t>грн</w:t>
      </w:r>
      <w:proofErr w:type="spellEnd"/>
      <w:r w:rsidRPr="00B23CCE">
        <w:rPr>
          <w:sz w:val="28"/>
          <w:szCs w:val="28"/>
        </w:rPr>
        <w:t xml:space="preserve"> на</w:t>
      </w:r>
      <w:r w:rsidR="00B36373">
        <w:rPr>
          <w:sz w:val="28"/>
          <w:szCs w:val="28"/>
        </w:rPr>
        <w:t xml:space="preserve"> одного суб’єкта господарювання</w:t>
      </w:r>
      <w:r w:rsidRPr="00B23CCE">
        <w:rPr>
          <w:sz w:val="28"/>
          <w:szCs w:val="28"/>
        </w:rPr>
        <w:t>;</w:t>
      </w:r>
    </w:p>
    <w:p w:rsidR="00734824" w:rsidRPr="00B23CCE" w:rsidRDefault="00734824" w:rsidP="00734824">
      <w:pPr>
        <w:pStyle w:val="rvps2"/>
        <w:numPr>
          <w:ilvl w:val="0"/>
          <w:numId w:val="7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bookmarkStart w:id="46" w:name="n38"/>
      <w:bookmarkEnd w:id="46"/>
      <w:r w:rsidRPr="00B23CCE">
        <w:rPr>
          <w:sz w:val="28"/>
          <w:szCs w:val="28"/>
        </w:rPr>
        <w:t>рівень поінформованості суб’єктів господарювання з основних положень акта – високий;</w:t>
      </w:r>
    </w:p>
    <w:p w:rsidR="00734824" w:rsidRPr="00B23CCE" w:rsidRDefault="00734824" w:rsidP="007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забезпечення високого рівня поінформованості суб’єктів господарювання щодо основних положень цього акта Комісії з регулювання азартних ігор та лотерей забезпечено оприлюднення його в установленому законодавством порядку на офіційному </w:t>
      </w:r>
      <w:proofErr w:type="spellStart"/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вебсайті</w:t>
      </w:r>
      <w:proofErr w:type="spellEnd"/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КРАІЛ</w:t>
      </w:r>
      <w:r w:rsidRPr="00B23CC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9" w:history="1">
        <w:r w:rsidRPr="00B23CC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https://gc.gov.ua/</w:t>
        </w:r>
      </w:hyperlink>
      <w:r w:rsidRPr="00B23CCE">
        <w:rPr>
          <w:rFonts w:ascii="Times New Roman" w:hAnsi="Times New Roman" w:cs="Times New Roman"/>
          <w:sz w:val="28"/>
          <w:szCs w:val="28"/>
          <w:lang w:val="uk-UA"/>
        </w:rPr>
        <w:t>) у розділі «</w:t>
      </w:r>
      <w:hyperlink r:id="rId10" w:history="1">
        <w:r w:rsidRPr="00B23CCE">
          <w:rPr>
            <w:rFonts w:ascii="Times New Roman" w:hAnsi="Times New Roman" w:cs="Times New Roman"/>
            <w:sz w:val="28"/>
            <w:szCs w:val="28"/>
            <w:lang w:val="uk-UA" w:eastAsia="uk-UA"/>
          </w:rPr>
          <w:t>Регуляторна діяльність та консультації з громадськістю</w:t>
        </w:r>
      </w:hyperlink>
      <w:r w:rsidRPr="00B23CCE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C830EA" w:rsidRPr="00B23C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34824" w:rsidRPr="00B23CCE" w:rsidRDefault="00734824" w:rsidP="007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3C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Додатковими показниками результативності регуляторного акта є:</w:t>
      </w:r>
    </w:p>
    <w:p w:rsidR="00B36373" w:rsidRPr="00B36373" w:rsidRDefault="009A56E6" w:rsidP="009A56E6">
      <w:pPr>
        <w:pStyle w:val="1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B23CCE">
        <w:rPr>
          <w:rFonts w:ascii="Times New Roman" w:hAnsi="Times New Roman" w:cs="Times New Roman"/>
          <w:sz w:val="28"/>
          <w:szCs w:val="28"/>
        </w:rPr>
        <w:t xml:space="preserve">кількість осіб, </w:t>
      </w:r>
      <w:r w:rsidR="00B36373">
        <w:rPr>
          <w:rFonts w:ascii="Times New Roman" w:hAnsi="Times New Roman" w:cs="Times New Roman"/>
          <w:sz w:val="28"/>
          <w:szCs w:val="28"/>
        </w:rPr>
        <w:t>що звернулися до організаторів азартних ігор з  вимогою про відшкодування фінансової шкоди;</w:t>
      </w:r>
    </w:p>
    <w:p w:rsidR="00595041" w:rsidRPr="00595041" w:rsidRDefault="009A56E6" w:rsidP="009A56E6">
      <w:pPr>
        <w:pStyle w:val="1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B23CCE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595041">
        <w:rPr>
          <w:rFonts w:ascii="Times New Roman" w:hAnsi="Times New Roman" w:cs="Times New Roman"/>
          <w:sz w:val="28"/>
          <w:szCs w:val="28"/>
        </w:rPr>
        <w:t>рішень про відшкодування фінансової шкоди, прийнятих організаторами азартних ігор.</w:t>
      </w:r>
    </w:p>
    <w:p w:rsidR="009A56E6" w:rsidRPr="00B23CCE" w:rsidRDefault="009A56E6" w:rsidP="009A56E6">
      <w:pPr>
        <w:pStyle w:val="1"/>
        <w:spacing w:after="0"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34824" w:rsidRPr="00B23CCE" w:rsidRDefault="00734824" w:rsidP="00734824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9A56E6" w:rsidRPr="00B23CCE" w:rsidRDefault="00734824" w:rsidP="0059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47" w:name="n171"/>
      <w:bookmarkEnd w:id="47"/>
      <w:r w:rsidRPr="00B23CCE">
        <w:rPr>
          <w:rFonts w:ascii="Times New Roman" w:hAnsi="Times New Roman" w:cs="Times New Roman"/>
          <w:sz w:val="28"/>
          <w:szCs w:val="28"/>
          <w:lang w:val="uk-UA"/>
        </w:rPr>
        <w:t xml:space="preserve">Відстеження результативності регуляторного акта здійснюватиметься шляхом аналізу статистичної інформації </w:t>
      </w:r>
      <w:r w:rsidR="009A56E6" w:rsidRPr="00B23CC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595041">
        <w:rPr>
          <w:rFonts w:ascii="Times New Roman" w:hAnsi="Times New Roman" w:cs="Times New Roman"/>
          <w:sz w:val="28"/>
          <w:szCs w:val="28"/>
          <w:lang w:val="uk-UA"/>
        </w:rPr>
        <w:t xml:space="preserve">відшкодування фінансової організаторами азартних ігор, </w:t>
      </w:r>
      <w:r w:rsidR="00595041" w:rsidRPr="00B23CCE">
        <w:rPr>
          <w:rFonts w:ascii="Times New Roman" w:hAnsi="Times New Roman" w:cs="Times New Roman"/>
          <w:sz w:val="28"/>
          <w:szCs w:val="28"/>
          <w:lang w:val="uk-UA" w:eastAsia="uk-UA"/>
        </w:rPr>
        <w:t>як</w:t>
      </w:r>
      <w:r w:rsidR="00595041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595041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не забезпечи</w:t>
      </w:r>
      <w:r w:rsidR="00595041">
        <w:rPr>
          <w:rFonts w:ascii="Times New Roman" w:hAnsi="Times New Roman" w:cs="Times New Roman"/>
          <w:sz w:val="28"/>
          <w:szCs w:val="28"/>
          <w:lang w:val="uk-UA" w:eastAsia="uk-UA"/>
        </w:rPr>
        <w:t>ли</w:t>
      </w:r>
      <w:r w:rsidR="00595041" w:rsidRPr="00B23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неможливість участі в азартних іграх осіб, участь яких в таких іграх заборонена цим та іншими законами</w:t>
      </w:r>
      <w:r w:rsidR="005950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734824" w:rsidRPr="00B23CCE" w:rsidRDefault="00734824" w:rsidP="00734824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/>
        </w:rPr>
        <w:t>Базове відстеження результативності здійснюватиметься через рік після набрання чинності цим регуляторним актом.</w:t>
      </w:r>
    </w:p>
    <w:p w:rsidR="00734824" w:rsidRPr="00B23CCE" w:rsidRDefault="00734824" w:rsidP="00734824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/>
        </w:rPr>
        <w:t>Повторне відстеження результативності регуляторного акта здійснюватиметься через два роки від дня набрання ним чинності.</w:t>
      </w:r>
    </w:p>
    <w:p w:rsidR="00734824" w:rsidRPr="00B23CCE" w:rsidRDefault="00734824" w:rsidP="00734824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/>
        </w:rPr>
        <w:t>Періодичне відстеження результативності регуляторного акта здійснюватиметься кожні три роки, починаючи з дня виконання заходів із повторного відстеження.</w:t>
      </w:r>
    </w:p>
    <w:p w:rsidR="00734824" w:rsidRPr="00B23CCE" w:rsidRDefault="00734824" w:rsidP="00734824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/>
        </w:rPr>
        <w:t>Метод відстеження результативності – статистичний.</w:t>
      </w:r>
    </w:p>
    <w:p w:rsidR="00734824" w:rsidRPr="00B23CCE" w:rsidRDefault="00734824" w:rsidP="00734824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/>
        </w:rPr>
        <w:t>Виконавець заходів з відстеження результативності – КРАІЛ.</w:t>
      </w:r>
    </w:p>
    <w:p w:rsidR="00734824" w:rsidRPr="00B23CCE" w:rsidRDefault="00734824" w:rsidP="00734824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sz w:val="28"/>
          <w:szCs w:val="28"/>
          <w:lang w:val="uk-UA"/>
        </w:rPr>
        <w:t>У разі виявлення під час здійснення заходів з відстеження результативності неврегульованих та проблемних питань, вони будуть вирішуватися шляхом внесення відповідних змін до регуляторного акта.</w:t>
      </w:r>
    </w:p>
    <w:p w:rsidR="00734824" w:rsidRPr="00B23CCE" w:rsidRDefault="00734824" w:rsidP="00734824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34824" w:rsidRPr="00B23CCE" w:rsidRDefault="00734824" w:rsidP="0073482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34824" w:rsidRPr="00B23CCE" w:rsidRDefault="00212B72" w:rsidP="00734824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3C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В. о. Голови </w:t>
      </w:r>
      <w:r w:rsidR="00734824" w:rsidRPr="00B23C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Комісії з регулювання </w:t>
      </w:r>
    </w:p>
    <w:p w:rsidR="00A0243E" w:rsidRDefault="00734824" w:rsidP="00212B72">
      <w:pPr>
        <w:spacing w:after="0" w:line="20" w:lineRule="atLeast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  <w:sectPr w:rsidR="00A0243E" w:rsidSect="00E65BAE">
          <w:headerReference w:type="default" r:id="rId11"/>
          <w:pgSz w:w="11906" w:h="16838"/>
          <w:pgMar w:top="1134" w:right="567" w:bottom="1701" w:left="1701" w:header="709" w:footer="720" w:gutter="0"/>
          <w:cols w:space="720"/>
          <w:titlePg/>
          <w:docGrid w:linePitch="360" w:charSpace="4096"/>
        </w:sectPr>
      </w:pPr>
      <w:r w:rsidRPr="00B23CCE">
        <w:rPr>
          <w:rFonts w:ascii="Times New Roman" w:hAnsi="Times New Roman" w:cs="Times New Roman"/>
          <w:b/>
          <w:bCs/>
          <w:sz w:val="28"/>
          <w:szCs w:val="28"/>
          <w:lang w:val="uk-UA"/>
        </w:rPr>
        <w:t>азартних ігор та лотерей</w:t>
      </w:r>
      <w:r w:rsidRPr="00B23C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B23CC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12B72" w:rsidRPr="00B23CC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12B72" w:rsidRPr="00B23CCE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</w:t>
      </w:r>
      <w:r w:rsidR="00212B72" w:rsidRPr="00B23CC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Олена ВОДОЛАЖКО</w:t>
      </w:r>
      <w:r w:rsidRPr="00B23CC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B23CC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A0243E" w:rsidRPr="00F302F9" w:rsidRDefault="00A0243E" w:rsidP="00A0243E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0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ВИТРАТИ  </w:t>
      </w:r>
    </w:p>
    <w:p w:rsidR="00A0243E" w:rsidRPr="00F302F9" w:rsidRDefault="00A0243E" w:rsidP="00A0243E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:rsidR="00A0243E" w:rsidRPr="00F302F9" w:rsidRDefault="00A0243E" w:rsidP="00A0243E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5128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5"/>
        <w:gridCol w:w="4665"/>
        <w:gridCol w:w="1752"/>
        <w:gridCol w:w="1744"/>
      </w:tblGrid>
      <w:tr w:rsidR="00A0243E" w:rsidRPr="00F302F9" w:rsidTr="00CD055A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bookmarkStart w:id="48" w:name="n178"/>
            <w:bookmarkEnd w:id="48"/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ind w:left="1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 перший рік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 п’ять років</w:t>
            </w:r>
          </w:p>
        </w:tc>
      </w:tr>
      <w:tr w:rsidR="00A0243E" w:rsidRPr="00F302F9" w:rsidTr="00CD055A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tabs>
                <w:tab w:val="left" w:pos="705"/>
              </w:tabs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A0243E" w:rsidRPr="00F302F9" w:rsidTr="00CD055A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2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A0243E" w:rsidRPr="00F302F9" w:rsidTr="00CD055A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2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A0243E" w:rsidRPr="00F302F9" w:rsidTr="00CD055A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2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  <w:r w:rsidRPr="00F302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*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30 000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150 000</w:t>
            </w:r>
          </w:p>
        </w:tc>
      </w:tr>
      <w:tr w:rsidR="00A0243E" w:rsidRPr="00F302F9" w:rsidTr="00CD055A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2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A0243E" w:rsidRPr="00F302F9" w:rsidTr="00CD055A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2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A0243E" w:rsidRPr="00F302F9" w:rsidTr="00CD055A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A0243E" w:rsidRPr="00F302F9" w:rsidTr="00CD055A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ind w:left="125" w:righ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Інше, гривень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A0243E" w:rsidRPr="00F302F9" w:rsidTr="00CD055A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РАЗОМ (сума рядків: 1 + 2 + 3 + 4 + 5), гривень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30 000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150 000</w:t>
            </w:r>
          </w:p>
        </w:tc>
      </w:tr>
      <w:tr w:rsidR="00A0243E" w:rsidRPr="00F302F9" w:rsidTr="00CD055A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10.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  <w:r w:rsidRPr="00F302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</w:p>
        </w:tc>
      </w:tr>
      <w:tr w:rsidR="00A0243E" w:rsidRPr="00F302F9" w:rsidTr="00CD055A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                  рядок 10), гривень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1 470 000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3E" w:rsidRPr="00F302F9" w:rsidRDefault="00A0243E" w:rsidP="00CD055A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7 350 000</w:t>
            </w:r>
          </w:p>
        </w:tc>
      </w:tr>
    </w:tbl>
    <w:p w:rsidR="00A0243E" w:rsidRPr="00A739BD" w:rsidRDefault="00A0243E" w:rsidP="00A0243E">
      <w:pPr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12"/>
          <w:szCs w:val="12"/>
          <w:lang w:val="uk-UA"/>
        </w:rPr>
      </w:pPr>
    </w:p>
    <w:p w:rsidR="00A0243E" w:rsidRDefault="00A0243E" w:rsidP="00A0243E">
      <w:pPr>
        <w:tabs>
          <w:tab w:val="left" w:pos="709"/>
        </w:tabs>
        <w:spacing w:after="0" w:line="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* Розрахунок проводився, виходячи з в</w:t>
      </w:r>
      <w:r w:rsidRPr="00BF248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итрат на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відшкодування фінансової шкоди</w:t>
      </w:r>
      <w:r w:rsidRPr="009058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організатор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ами</w:t>
      </w:r>
      <w:r w:rsidRPr="009058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азартних ігор, як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</w:t>
      </w:r>
      <w:r w:rsidRPr="009058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не забезпечи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ли</w:t>
      </w:r>
      <w:r w:rsidRPr="009058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неможливість участі в азартних іграх осіб, участь яких в таких іграх заборонена цим та іншими законами, на їх вимогу або на вимогу членів сім’ї таких осіб в розмірі десятикратного розміру програшу, що заподіяна зазначеним особам внаслідок такої бездіяльності організатора азартних ігор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A0243E" w:rsidRDefault="00A0243E" w:rsidP="00A0243E">
      <w:pPr>
        <w:tabs>
          <w:tab w:val="left" w:pos="709"/>
        </w:tabs>
        <w:spacing w:after="0" w:line="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 соціологічними дослідженнями, проведеними Громадською спілкою «Всеукраїнська Рада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Гемблінгу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», кількість потенційних гравців в азартні ігри в Україні може складати до        3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млн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осіб.</w:t>
      </w:r>
    </w:p>
    <w:p w:rsidR="00A0243E" w:rsidRDefault="00A0243E" w:rsidP="00A0243E">
      <w:pPr>
        <w:tabs>
          <w:tab w:val="left" w:pos="709"/>
        </w:tabs>
        <w:spacing w:after="0" w:line="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058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 даними КРАІЛ, у Реєстрі осіб, яким обмежено доступ до гральних закладів та/або участь в азартних іграх станом на 01.08.2022 міститься 271 діючий (актуальний) запис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A0243E" w:rsidRDefault="00A0243E" w:rsidP="00A0243E">
      <w:pPr>
        <w:tabs>
          <w:tab w:val="left" w:pos="709"/>
        </w:tabs>
        <w:spacing w:after="0" w:line="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Водночас на сьогодні в Україні не має статистичної інформації щодо кількості осіб молодше 21-річного віку, які можуть приймати участь в азартних іграх.</w:t>
      </w:r>
    </w:p>
    <w:p w:rsidR="00A0243E" w:rsidRDefault="00A0243E" w:rsidP="00A0243E">
      <w:pPr>
        <w:tabs>
          <w:tab w:val="left" w:pos="709"/>
        </w:tabs>
        <w:spacing w:after="0" w:line="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Тому у розрахунках використано виключно дані щодо кількості осіб, внесених до</w:t>
      </w:r>
      <w:r w:rsidRPr="009058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Реєстр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у</w:t>
      </w:r>
      <w:r w:rsidRPr="009058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осіб, яким обмежено доступ до гральних закладів та/або участь в азартних іграх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A0243E" w:rsidRDefault="00A0243E" w:rsidP="00A0243E">
      <w:pPr>
        <w:tabs>
          <w:tab w:val="left" w:pos="709"/>
        </w:tabs>
        <w:spacing w:after="0" w:line="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 припущенням, враховуючи кількість організаторів азартних ігор станом на 01.08.2022 (49 суб’єктів господарювання), кількість осіб, допущених до участі в азартних іграх (</w:t>
      </w:r>
      <w:r w:rsidRPr="009058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участь яких в таких іграх заборонена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Законом</w:t>
      </w:r>
      <w:r w:rsidRPr="009058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 іншими законами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 відповідно які можуть на свою вимогу або вимогу членів сім’ї отримати відшкодування фінансової шкоди) протягом 1-го року може скласти до 5 осіб (271/49).</w:t>
      </w:r>
    </w:p>
    <w:p w:rsidR="00A0243E" w:rsidRDefault="00A0243E" w:rsidP="00A0243E">
      <w:pPr>
        <w:tabs>
          <w:tab w:val="left" w:pos="709"/>
        </w:tabs>
        <w:spacing w:after="0" w:line="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 даними Громадської спілки «Всеукраїнська Рада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Гемблінгу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 середній обсяг коштів, які гравець витрачає на гру складає 600 грн.</w:t>
      </w:r>
    </w:p>
    <w:p w:rsidR="00A0243E" w:rsidRDefault="00A0243E" w:rsidP="00A0243E">
      <w:pPr>
        <w:tabs>
          <w:tab w:val="left" w:pos="709"/>
        </w:tabs>
        <w:spacing w:after="0" w:line="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Отже, сума фінансового </w:t>
      </w:r>
      <w:r w:rsidR="00CA5C9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відшкодування у розрахунку на одного організатора азартних ігор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за рік може скласти 30 тис</w:t>
      </w:r>
      <w:r w:rsidR="0075119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грн. (600 х 10 х 5).</w:t>
      </w:r>
    </w:p>
    <w:p w:rsidR="00A0243E" w:rsidRDefault="00A0243E" w:rsidP="00A0243E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A0243E" w:rsidRDefault="00A0243E" w:rsidP="00A0243E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A0243E" w:rsidRDefault="00A0243E" w:rsidP="00A0243E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A0243E" w:rsidRDefault="00A0243E" w:rsidP="00A0243E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A0243E" w:rsidRDefault="00A0243E" w:rsidP="00A0243E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0B4534" w:rsidRPr="00B23CCE" w:rsidRDefault="000B4534" w:rsidP="00212B72">
      <w:pPr>
        <w:spacing w:after="0" w:line="20" w:lineRule="atLeast"/>
        <w:contextualSpacing/>
        <w:rPr>
          <w:rFonts w:ascii="Times New Roman" w:hAnsi="Times New Roman" w:cs="Times New Roman"/>
          <w:lang w:val="uk-UA"/>
        </w:rPr>
      </w:pPr>
    </w:p>
    <w:sectPr w:rsidR="000B4534" w:rsidRPr="00B23CCE" w:rsidSect="00CF6A9D">
      <w:headerReference w:type="default" r:id="rId12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02" w:rsidRDefault="00B81002">
      <w:pPr>
        <w:spacing w:after="0" w:line="240" w:lineRule="auto"/>
      </w:pPr>
      <w:r>
        <w:separator/>
      </w:r>
    </w:p>
  </w:endnote>
  <w:endnote w:type="continuationSeparator" w:id="0">
    <w:p w:rsidR="00B81002" w:rsidRDefault="00B8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34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02" w:rsidRDefault="00B81002">
      <w:pPr>
        <w:spacing w:after="0" w:line="240" w:lineRule="auto"/>
      </w:pPr>
      <w:r>
        <w:separator/>
      </w:r>
    </w:p>
  </w:footnote>
  <w:footnote w:type="continuationSeparator" w:id="0">
    <w:p w:rsidR="00B81002" w:rsidRDefault="00B8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002" w:rsidRPr="00A0243E" w:rsidRDefault="00B81002">
    <w:pPr>
      <w:pStyle w:val="a5"/>
      <w:jc w:val="center"/>
      <w:rPr>
        <w:sz w:val="28"/>
        <w:szCs w:val="28"/>
      </w:rPr>
    </w:pPr>
    <w:r w:rsidRPr="00A0243E">
      <w:rPr>
        <w:sz w:val="28"/>
        <w:szCs w:val="28"/>
      </w:rPr>
      <w:fldChar w:fldCharType="begin"/>
    </w:r>
    <w:r w:rsidRPr="00A0243E">
      <w:rPr>
        <w:sz w:val="28"/>
        <w:szCs w:val="28"/>
      </w:rPr>
      <w:instrText xml:space="preserve"> PAGE </w:instrText>
    </w:r>
    <w:r w:rsidRPr="00A0243E">
      <w:rPr>
        <w:sz w:val="28"/>
        <w:szCs w:val="28"/>
      </w:rPr>
      <w:fldChar w:fldCharType="separate"/>
    </w:r>
    <w:r w:rsidR="007A3B5A">
      <w:rPr>
        <w:noProof/>
        <w:sz w:val="28"/>
        <w:szCs w:val="28"/>
      </w:rPr>
      <w:t>10</w:t>
    </w:r>
    <w:r w:rsidRPr="00A0243E">
      <w:rPr>
        <w:sz w:val="28"/>
        <w:szCs w:val="28"/>
      </w:rPr>
      <w:fldChar w:fldCharType="end"/>
    </w:r>
  </w:p>
  <w:p w:rsidR="00B81002" w:rsidRDefault="00B810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5208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B0F33" w:rsidRPr="00AB74EA" w:rsidRDefault="00A0243E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  <w:lang w:val="uk-UA"/>
          </w:rPr>
          <w:t>2</w:t>
        </w:r>
      </w:p>
    </w:sdtContent>
  </w:sdt>
  <w:p w:rsidR="004B0F33" w:rsidRDefault="007A3B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E64"/>
    <w:multiLevelType w:val="hybridMultilevel"/>
    <w:tmpl w:val="8A822CB0"/>
    <w:lvl w:ilvl="0" w:tplc="6130C7E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42A9"/>
    <w:multiLevelType w:val="hybridMultilevel"/>
    <w:tmpl w:val="1F4AD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7D72FC"/>
    <w:multiLevelType w:val="hybridMultilevel"/>
    <w:tmpl w:val="962EDEE4"/>
    <w:lvl w:ilvl="0" w:tplc="200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">
    <w:nsid w:val="0B032DE0"/>
    <w:multiLevelType w:val="hybridMultilevel"/>
    <w:tmpl w:val="374E1CA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>
    <w:nsid w:val="166015B1"/>
    <w:multiLevelType w:val="hybridMultilevel"/>
    <w:tmpl w:val="D22454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76067"/>
    <w:multiLevelType w:val="hybridMultilevel"/>
    <w:tmpl w:val="39FAAF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396CAC"/>
    <w:multiLevelType w:val="hybridMultilevel"/>
    <w:tmpl w:val="84D8E6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A3A78"/>
    <w:multiLevelType w:val="hybridMultilevel"/>
    <w:tmpl w:val="AA6C97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2A6C1F"/>
    <w:multiLevelType w:val="hybridMultilevel"/>
    <w:tmpl w:val="5BD20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576BC"/>
    <w:multiLevelType w:val="hybridMultilevel"/>
    <w:tmpl w:val="BAA8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05B8B"/>
    <w:multiLevelType w:val="hybridMultilevel"/>
    <w:tmpl w:val="7B5AAE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B4C53"/>
    <w:multiLevelType w:val="hybridMultilevel"/>
    <w:tmpl w:val="A5589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FB41FF"/>
    <w:multiLevelType w:val="hybridMultilevel"/>
    <w:tmpl w:val="45505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F64470"/>
    <w:multiLevelType w:val="hybridMultilevel"/>
    <w:tmpl w:val="24D0BA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4339AD"/>
    <w:multiLevelType w:val="hybridMultilevel"/>
    <w:tmpl w:val="CCC4FFD8"/>
    <w:lvl w:ilvl="0" w:tplc="200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>
    <w:nsid w:val="4E402943"/>
    <w:multiLevelType w:val="hybridMultilevel"/>
    <w:tmpl w:val="A0DCC7CC"/>
    <w:lvl w:ilvl="0" w:tplc="200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8F4BF7"/>
    <w:multiLevelType w:val="hybridMultilevel"/>
    <w:tmpl w:val="2030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07FEA"/>
    <w:multiLevelType w:val="hybridMultilevel"/>
    <w:tmpl w:val="192E7434"/>
    <w:lvl w:ilvl="0" w:tplc="1FAC6BC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A3E23C1"/>
    <w:multiLevelType w:val="hybridMultilevel"/>
    <w:tmpl w:val="C11E4F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47E5F"/>
    <w:multiLevelType w:val="hybridMultilevel"/>
    <w:tmpl w:val="CA2A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02243"/>
    <w:multiLevelType w:val="hybridMultilevel"/>
    <w:tmpl w:val="460834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1659B"/>
    <w:multiLevelType w:val="hybridMultilevel"/>
    <w:tmpl w:val="9CAE3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F4F1E"/>
    <w:multiLevelType w:val="hybridMultilevel"/>
    <w:tmpl w:val="CC7AFB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6D21949"/>
    <w:multiLevelType w:val="hybridMultilevel"/>
    <w:tmpl w:val="60286B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4"/>
  </w:num>
  <w:num w:numId="5">
    <w:abstractNumId w:val="18"/>
  </w:num>
  <w:num w:numId="6">
    <w:abstractNumId w:val="4"/>
  </w:num>
  <w:num w:numId="7">
    <w:abstractNumId w:val="10"/>
  </w:num>
  <w:num w:numId="8">
    <w:abstractNumId w:val="12"/>
  </w:num>
  <w:num w:numId="9">
    <w:abstractNumId w:val="21"/>
  </w:num>
  <w:num w:numId="10">
    <w:abstractNumId w:val="8"/>
  </w:num>
  <w:num w:numId="11">
    <w:abstractNumId w:val="11"/>
  </w:num>
  <w:num w:numId="12">
    <w:abstractNumId w:val="9"/>
  </w:num>
  <w:num w:numId="13">
    <w:abstractNumId w:val="19"/>
  </w:num>
  <w:num w:numId="14">
    <w:abstractNumId w:val="16"/>
  </w:num>
  <w:num w:numId="15">
    <w:abstractNumId w:val="23"/>
  </w:num>
  <w:num w:numId="16">
    <w:abstractNumId w:val="3"/>
  </w:num>
  <w:num w:numId="17">
    <w:abstractNumId w:val="15"/>
  </w:num>
  <w:num w:numId="18">
    <w:abstractNumId w:val="17"/>
  </w:num>
  <w:num w:numId="19">
    <w:abstractNumId w:val="1"/>
  </w:num>
  <w:num w:numId="20">
    <w:abstractNumId w:val="0"/>
  </w:num>
  <w:num w:numId="21">
    <w:abstractNumId w:val="7"/>
  </w:num>
  <w:num w:numId="22">
    <w:abstractNumId w:val="5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E6"/>
    <w:rsid w:val="0001708D"/>
    <w:rsid w:val="00030D01"/>
    <w:rsid w:val="00036819"/>
    <w:rsid w:val="00042B96"/>
    <w:rsid w:val="00046AD4"/>
    <w:rsid w:val="00051481"/>
    <w:rsid w:val="00051560"/>
    <w:rsid w:val="00055157"/>
    <w:rsid w:val="00055A0C"/>
    <w:rsid w:val="00056D79"/>
    <w:rsid w:val="00062BE4"/>
    <w:rsid w:val="00066B25"/>
    <w:rsid w:val="00075033"/>
    <w:rsid w:val="0007610E"/>
    <w:rsid w:val="00091861"/>
    <w:rsid w:val="00094678"/>
    <w:rsid w:val="00097952"/>
    <w:rsid w:val="000A64FA"/>
    <w:rsid w:val="000B0893"/>
    <w:rsid w:val="000B4534"/>
    <w:rsid w:val="000B52E3"/>
    <w:rsid w:val="000B66AD"/>
    <w:rsid w:val="000D5E77"/>
    <w:rsid w:val="000D7230"/>
    <w:rsid w:val="000E5151"/>
    <w:rsid w:val="000E6125"/>
    <w:rsid w:val="000E66DA"/>
    <w:rsid w:val="00104F9D"/>
    <w:rsid w:val="00116B6C"/>
    <w:rsid w:val="00120536"/>
    <w:rsid w:val="00120D7D"/>
    <w:rsid w:val="0012401B"/>
    <w:rsid w:val="0013158E"/>
    <w:rsid w:val="00136910"/>
    <w:rsid w:val="001439CB"/>
    <w:rsid w:val="00145285"/>
    <w:rsid w:val="001519DA"/>
    <w:rsid w:val="00155C5C"/>
    <w:rsid w:val="001612A9"/>
    <w:rsid w:val="00170BFA"/>
    <w:rsid w:val="0018454E"/>
    <w:rsid w:val="001846D4"/>
    <w:rsid w:val="0018714A"/>
    <w:rsid w:val="00193793"/>
    <w:rsid w:val="00193CAA"/>
    <w:rsid w:val="00196D7E"/>
    <w:rsid w:val="001A0298"/>
    <w:rsid w:val="001B0DD2"/>
    <w:rsid w:val="001B44F4"/>
    <w:rsid w:val="001C5DC4"/>
    <w:rsid w:val="001E5E78"/>
    <w:rsid w:val="001E6347"/>
    <w:rsid w:val="001F0BA9"/>
    <w:rsid w:val="001F31F3"/>
    <w:rsid w:val="001F6889"/>
    <w:rsid w:val="001F6B20"/>
    <w:rsid w:val="00202514"/>
    <w:rsid w:val="002045DA"/>
    <w:rsid w:val="00212668"/>
    <w:rsid w:val="00212B72"/>
    <w:rsid w:val="0021604E"/>
    <w:rsid w:val="002303DF"/>
    <w:rsid w:val="002331A8"/>
    <w:rsid w:val="002333F5"/>
    <w:rsid w:val="0023421D"/>
    <w:rsid w:val="00247DA9"/>
    <w:rsid w:val="002525FA"/>
    <w:rsid w:val="0026645B"/>
    <w:rsid w:val="002713D8"/>
    <w:rsid w:val="00273BA1"/>
    <w:rsid w:val="0027639A"/>
    <w:rsid w:val="00280BA0"/>
    <w:rsid w:val="00294BE8"/>
    <w:rsid w:val="002A03E5"/>
    <w:rsid w:val="002A2FBD"/>
    <w:rsid w:val="002B12AC"/>
    <w:rsid w:val="002B18E4"/>
    <w:rsid w:val="002B294D"/>
    <w:rsid w:val="002B49D0"/>
    <w:rsid w:val="002B57DA"/>
    <w:rsid w:val="002B6BAE"/>
    <w:rsid w:val="002C3C0D"/>
    <w:rsid w:val="002E4A6E"/>
    <w:rsid w:val="002F2FCC"/>
    <w:rsid w:val="003016CB"/>
    <w:rsid w:val="0030702E"/>
    <w:rsid w:val="00321133"/>
    <w:rsid w:val="003237FE"/>
    <w:rsid w:val="0033188F"/>
    <w:rsid w:val="00331D45"/>
    <w:rsid w:val="00333C56"/>
    <w:rsid w:val="00340468"/>
    <w:rsid w:val="003426CB"/>
    <w:rsid w:val="00345898"/>
    <w:rsid w:val="00345C41"/>
    <w:rsid w:val="00347039"/>
    <w:rsid w:val="00347CCE"/>
    <w:rsid w:val="00353CE5"/>
    <w:rsid w:val="00360EC1"/>
    <w:rsid w:val="00365EE6"/>
    <w:rsid w:val="00373306"/>
    <w:rsid w:val="0038026E"/>
    <w:rsid w:val="003808D8"/>
    <w:rsid w:val="00380D64"/>
    <w:rsid w:val="00392DF7"/>
    <w:rsid w:val="00395127"/>
    <w:rsid w:val="003967A5"/>
    <w:rsid w:val="00396C9E"/>
    <w:rsid w:val="003A22B9"/>
    <w:rsid w:val="003C1940"/>
    <w:rsid w:val="003D2E3E"/>
    <w:rsid w:val="003D7492"/>
    <w:rsid w:val="003D78B8"/>
    <w:rsid w:val="003E552D"/>
    <w:rsid w:val="003E5BC3"/>
    <w:rsid w:val="003E7AFC"/>
    <w:rsid w:val="003F0EB7"/>
    <w:rsid w:val="003F3C40"/>
    <w:rsid w:val="00403B13"/>
    <w:rsid w:val="00404A19"/>
    <w:rsid w:val="00413430"/>
    <w:rsid w:val="0042327C"/>
    <w:rsid w:val="00426C00"/>
    <w:rsid w:val="00431A71"/>
    <w:rsid w:val="00432066"/>
    <w:rsid w:val="00446D14"/>
    <w:rsid w:val="00451957"/>
    <w:rsid w:val="00453E91"/>
    <w:rsid w:val="00454892"/>
    <w:rsid w:val="0049161C"/>
    <w:rsid w:val="004A1A64"/>
    <w:rsid w:val="004A4E13"/>
    <w:rsid w:val="004A4E71"/>
    <w:rsid w:val="004B0920"/>
    <w:rsid w:val="004B28DC"/>
    <w:rsid w:val="004B77D3"/>
    <w:rsid w:val="004C1790"/>
    <w:rsid w:val="004C35D8"/>
    <w:rsid w:val="004C4174"/>
    <w:rsid w:val="004F0064"/>
    <w:rsid w:val="005059BA"/>
    <w:rsid w:val="00506879"/>
    <w:rsid w:val="00512053"/>
    <w:rsid w:val="00523DD9"/>
    <w:rsid w:val="005251DE"/>
    <w:rsid w:val="00530123"/>
    <w:rsid w:val="00531F24"/>
    <w:rsid w:val="00553E81"/>
    <w:rsid w:val="005547F6"/>
    <w:rsid w:val="00556608"/>
    <w:rsid w:val="00560988"/>
    <w:rsid w:val="005717D1"/>
    <w:rsid w:val="00571A7A"/>
    <w:rsid w:val="005721E8"/>
    <w:rsid w:val="00580AAD"/>
    <w:rsid w:val="00584E75"/>
    <w:rsid w:val="00590EF3"/>
    <w:rsid w:val="00595041"/>
    <w:rsid w:val="005A279F"/>
    <w:rsid w:val="005B1465"/>
    <w:rsid w:val="005B20C7"/>
    <w:rsid w:val="005B5DA7"/>
    <w:rsid w:val="005C118D"/>
    <w:rsid w:val="005D507C"/>
    <w:rsid w:val="005D60DF"/>
    <w:rsid w:val="005F6D03"/>
    <w:rsid w:val="006014D0"/>
    <w:rsid w:val="00607D65"/>
    <w:rsid w:val="00616D29"/>
    <w:rsid w:val="0061729E"/>
    <w:rsid w:val="00623B32"/>
    <w:rsid w:val="00631A98"/>
    <w:rsid w:val="0064271A"/>
    <w:rsid w:val="00642749"/>
    <w:rsid w:val="00642891"/>
    <w:rsid w:val="00642920"/>
    <w:rsid w:val="0065215F"/>
    <w:rsid w:val="0067114C"/>
    <w:rsid w:val="00676E69"/>
    <w:rsid w:val="00680340"/>
    <w:rsid w:val="00682BA1"/>
    <w:rsid w:val="00684B26"/>
    <w:rsid w:val="0069015F"/>
    <w:rsid w:val="00697E65"/>
    <w:rsid w:val="006A2150"/>
    <w:rsid w:val="006B054C"/>
    <w:rsid w:val="006B5E8D"/>
    <w:rsid w:val="006C1755"/>
    <w:rsid w:val="006C6CF7"/>
    <w:rsid w:val="006E2010"/>
    <w:rsid w:val="006E5D2C"/>
    <w:rsid w:val="006F0B19"/>
    <w:rsid w:val="006F4874"/>
    <w:rsid w:val="00706D43"/>
    <w:rsid w:val="00720D5E"/>
    <w:rsid w:val="007253E6"/>
    <w:rsid w:val="00726372"/>
    <w:rsid w:val="00727473"/>
    <w:rsid w:val="00734824"/>
    <w:rsid w:val="00744397"/>
    <w:rsid w:val="00750316"/>
    <w:rsid w:val="00751190"/>
    <w:rsid w:val="00753012"/>
    <w:rsid w:val="00763188"/>
    <w:rsid w:val="00765ACD"/>
    <w:rsid w:val="0076767D"/>
    <w:rsid w:val="0077200F"/>
    <w:rsid w:val="00775499"/>
    <w:rsid w:val="00775E5F"/>
    <w:rsid w:val="00782A6E"/>
    <w:rsid w:val="00787186"/>
    <w:rsid w:val="00791109"/>
    <w:rsid w:val="00793102"/>
    <w:rsid w:val="007A123B"/>
    <w:rsid w:val="007A3B5A"/>
    <w:rsid w:val="007A7D38"/>
    <w:rsid w:val="007B6579"/>
    <w:rsid w:val="007B6D58"/>
    <w:rsid w:val="007B73AD"/>
    <w:rsid w:val="007C18A6"/>
    <w:rsid w:val="007C2E19"/>
    <w:rsid w:val="007C57DF"/>
    <w:rsid w:val="007D067F"/>
    <w:rsid w:val="007F0872"/>
    <w:rsid w:val="008022A9"/>
    <w:rsid w:val="00803E10"/>
    <w:rsid w:val="008138C0"/>
    <w:rsid w:val="008179BD"/>
    <w:rsid w:val="008203CA"/>
    <w:rsid w:val="00833E5F"/>
    <w:rsid w:val="008340E0"/>
    <w:rsid w:val="008354C3"/>
    <w:rsid w:val="008455C7"/>
    <w:rsid w:val="00847DBA"/>
    <w:rsid w:val="00856E89"/>
    <w:rsid w:val="00857720"/>
    <w:rsid w:val="0086712C"/>
    <w:rsid w:val="00867535"/>
    <w:rsid w:val="008675A9"/>
    <w:rsid w:val="0087424C"/>
    <w:rsid w:val="0088027C"/>
    <w:rsid w:val="00883B12"/>
    <w:rsid w:val="008868A6"/>
    <w:rsid w:val="00887471"/>
    <w:rsid w:val="008911DC"/>
    <w:rsid w:val="008A0CA7"/>
    <w:rsid w:val="008A396D"/>
    <w:rsid w:val="008A6476"/>
    <w:rsid w:val="008B0D84"/>
    <w:rsid w:val="008B5D36"/>
    <w:rsid w:val="008B7968"/>
    <w:rsid w:val="008C6C4F"/>
    <w:rsid w:val="008E78B6"/>
    <w:rsid w:val="008F032C"/>
    <w:rsid w:val="008F0DA6"/>
    <w:rsid w:val="008F1FB0"/>
    <w:rsid w:val="009040A8"/>
    <w:rsid w:val="009061A2"/>
    <w:rsid w:val="0090683C"/>
    <w:rsid w:val="0092161C"/>
    <w:rsid w:val="0092197F"/>
    <w:rsid w:val="00926701"/>
    <w:rsid w:val="009462C8"/>
    <w:rsid w:val="00955DB1"/>
    <w:rsid w:val="00960C6D"/>
    <w:rsid w:val="00963655"/>
    <w:rsid w:val="00964A17"/>
    <w:rsid w:val="00965BD4"/>
    <w:rsid w:val="0097109D"/>
    <w:rsid w:val="009711B8"/>
    <w:rsid w:val="00974B56"/>
    <w:rsid w:val="009772B5"/>
    <w:rsid w:val="009A4E75"/>
    <w:rsid w:val="009A56E6"/>
    <w:rsid w:val="009A662D"/>
    <w:rsid w:val="009B072C"/>
    <w:rsid w:val="009B4C82"/>
    <w:rsid w:val="009B5075"/>
    <w:rsid w:val="009C772F"/>
    <w:rsid w:val="009D1502"/>
    <w:rsid w:val="009E1893"/>
    <w:rsid w:val="009E69F0"/>
    <w:rsid w:val="00A0243E"/>
    <w:rsid w:val="00A03EDE"/>
    <w:rsid w:val="00A21258"/>
    <w:rsid w:val="00A257DC"/>
    <w:rsid w:val="00A35376"/>
    <w:rsid w:val="00A50F58"/>
    <w:rsid w:val="00A752A0"/>
    <w:rsid w:val="00A80A62"/>
    <w:rsid w:val="00A84C7F"/>
    <w:rsid w:val="00A9087A"/>
    <w:rsid w:val="00A9232A"/>
    <w:rsid w:val="00A93982"/>
    <w:rsid w:val="00A974EC"/>
    <w:rsid w:val="00AA6D15"/>
    <w:rsid w:val="00AA74DB"/>
    <w:rsid w:val="00AB46DF"/>
    <w:rsid w:val="00AC1763"/>
    <w:rsid w:val="00AC1B5F"/>
    <w:rsid w:val="00AC4DB4"/>
    <w:rsid w:val="00AD3797"/>
    <w:rsid w:val="00B10AAE"/>
    <w:rsid w:val="00B12875"/>
    <w:rsid w:val="00B14D66"/>
    <w:rsid w:val="00B1769C"/>
    <w:rsid w:val="00B20124"/>
    <w:rsid w:val="00B22137"/>
    <w:rsid w:val="00B23CCE"/>
    <w:rsid w:val="00B26C36"/>
    <w:rsid w:val="00B30040"/>
    <w:rsid w:val="00B36373"/>
    <w:rsid w:val="00B42B3B"/>
    <w:rsid w:val="00B448FB"/>
    <w:rsid w:val="00B46266"/>
    <w:rsid w:val="00B54722"/>
    <w:rsid w:val="00B62C7A"/>
    <w:rsid w:val="00B6301F"/>
    <w:rsid w:val="00B6449D"/>
    <w:rsid w:val="00B71C9D"/>
    <w:rsid w:val="00B71E2E"/>
    <w:rsid w:val="00B74BA3"/>
    <w:rsid w:val="00B74F1C"/>
    <w:rsid w:val="00B7542B"/>
    <w:rsid w:val="00B75DA9"/>
    <w:rsid w:val="00B80D26"/>
    <w:rsid w:val="00B81002"/>
    <w:rsid w:val="00B8142D"/>
    <w:rsid w:val="00B82DE0"/>
    <w:rsid w:val="00B91AA9"/>
    <w:rsid w:val="00B938DE"/>
    <w:rsid w:val="00B953C0"/>
    <w:rsid w:val="00B9551B"/>
    <w:rsid w:val="00BB0314"/>
    <w:rsid w:val="00BB5B2E"/>
    <w:rsid w:val="00BC082C"/>
    <w:rsid w:val="00BC1B48"/>
    <w:rsid w:val="00BC2308"/>
    <w:rsid w:val="00BC303A"/>
    <w:rsid w:val="00BC6B4A"/>
    <w:rsid w:val="00BD16C2"/>
    <w:rsid w:val="00BD7DD0"/>
    <w:rsid w:val="00BE5D48"/>
    <w:rsid w:val="00BE6DAE"/>
    <w:rsid w:val="00BF1556"/>
    <w:rsid w:val="00BF389B"/>
    <w:rsid w:val="00BF4C98"/>
    <w:rsid w:val="00C13B83"/>
    <w:rsid w:val="00C36AD3"/>
    <w:rsid w:val="00C42DCE"/>
    <w:rsid w:val="00C45A85"/>
    <w:rsid w:val="00C45F04"/>
    <w:rsid w:val="00C5240D"/>
    <w:rsid w:val="00C52986"/>
    <w:rsid w:val="00C63D67"/>
    <w:rsid w:val="00C7375A"/>
    <w:rsid w:val="00C830EA"/>
    <w:rsid w:val="00C84274"/>
    <w:rsid w:val="00C90730"/>
    <w:rsid w:val="00C93428"/>
    <w:rsid w:val="00C974DF"/>
    <w:rsid w:val="00CA0AC4"/>
    <w:rsid w:val="00CA5C93"/>
    <w:rsid w:val="00CA66B2"/>
    <w:rsid w:val="00CA76EC"/>
    <w:rsid w:val="00CB2893"/>
    <w:rsid w:val="00CB794B"/>
    <w:rsid w:val="00CC2EDE"/>
    <w:rsid w:val="00CC6A67"/>
    <w:rsid w:val="00CE50E7"/>
    <w:rsid w:val="00CF00DE"/>
    <w:rsid w:val="00CF31CD"/>
    <w:rsid w:val="00D02BD3"/>
    <w:rsid w:val="00D03D23"/>
    <w:rsid w:val="00D1607F"/>
    <w:rsid w:val="00D21B3F"/>
    <w:rsid w:val="00D2739E"/>
    <w:rsid w:val="00D3152A"/>
    <w:rsid w:val="00D55C49"/>
    <w:rsid w:val="00D60194"/>
    <w:rsid w:val="00D73296"/>
    <w:rsid w:val="00D743B5"/>
    <w:rsid w:val="00D75E10"/>
    <w:rsid w:val="00D85E78"/>
    <w:rsid w:val="00D86EAC"/>
    <w:rsid w:val="00DA0062"/>
    <w:rsid w:val="00DA1FE6"/>
    <w:rsid w:val="00DB0237"/>
    <w:rsid w:val="00DB471D"/>
    <w:rsid w:val="00DB57BC"/>
    <w:rsid w:val="00DC1801"/>
    <w:rsid w:val="00DD1034"/>
    <w:rsid w:val="00DD4468"/>
    <w:rsid w:val="00DD7755"/>
    <w:rsid w:val="00DE1589"/>
    <w:rsid w:val="00DF3859"/>
    <w:rsid w:val="00E0530E"/>
    <w:rsid w:val="00E136C9"/>
    <w:rsid w:val="00E36F8A"/>
    <w:rsid w:val="00E37A97"/>
    <w:rsid w:val="00E52453"/>
    <w:rsid w:val="00E61F21"/>
    <w:rsid w:val="00E65BAE"/>
    <w:rsid w:val="00E67368"/>
    <w:rsid w:val="00E71AC3"/>
    <w:rsid w:val="00E75B3D"/>
    <w:rsid w:val="00E92D0F"/>
    <w:rsid w:val="00E955FD"/>
    <w:rsid w:val="00E972DF"/>
    <w:rsid w:val="00EA386E"/>
    <w:rsid w:val="00EA5FFC"/>
    <w:rsid w:val="00EB4305"/>
    <w:rsid w:val="00EC00A5"/>
    <w:rsid w:val="00EC3200"/>
    <w:rsid w:val="00EC4223"/>
    <w:rsid w:val="00ED0D94"/>
    <w:rsid w:val="00EE1036"/>
    <w:rsid w:val="00EE347E"/>
    <w:rsid w:val="00EF1648"/>
    <w:rsid w:val="00EF30A9"/>
    <w:rsid w:val="00EF7A9A"/>
    <w:rsid w:val="00F04FB5"/>
    <w:rsid w:val="00F05CC3"/>
    <w:rsid w:val="00F10867"/>
    <w:rsid w:val="00F12985"/>
    <w:rsid w:val="00F25090"/>
    <w:rsid w:val="00F3636F"/>
    <w:rsid w:val="00F36524"/>
    <w:rsid w:val="00F55653"/>
    <w:rsid w:val="00F65F5D"/>
    <w:rsid w:val="00F712D5"/>
    <w:rsid w:val="00F7175B"/>
    <w:rsid w:val="00F73B08"/>
    <w:rsid w:val="00F74E1D"/>
    <w:rsid w:val="00F80725"/>
    <w:rsid w:val="00F85419"/>
    <w:rsid w:val="00F91EB8"/>
    <w:rsid w:val="00F937FB"/>
    <w:rsid w:val="00FB5FCA"/>
    <w:rsid w:val="00FD35E4"/>
    <w:rsid w:val="00FE4F9C"/>
    <w:rsid w:val="00FE60D6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4"/>
    <w:pPr>
      <w:suppressAutoHyphens/>
    </w:pPr>
    <w:rPr>
      <w:rFonts w:ascii="Calibri" w:eastAsia="Calibri" w:hAnsi="Calibri" w:cs="font3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53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7253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31">
    <w:name w:val="Основной текст 31"/>
    <w:basedOn w:val="a"/>
    <w:rsid w:val="007253E6"/>
    <w:pPr>
      <w:spacing w:before="280" w:after="280" w:line="240" w:lineRule="auto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7253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2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253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7253E6"/>
    <w:pPr>
      <w:ind w:left="720"/>
      <w:contextualSpacing/>
    </w:pPr>
    <w:rPr>
      <w:lang w:val="uk-UA"/>
    </w:rPr>
  </w:style>
  <w:style w:type="paragraph" w:customStyle="1" w:styleId="rvps12">
    <w:name w:val="rvps12"/>
    <w:basedOn w:val="a"/>
    <w:rsid w:val="007253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7253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7253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253E6"/>
    <w:rPr>
      <w:color w:val="0000FF"/>
      <w:u w:val="single"/>
    </w:rPr>
  </w:style>
  <w:style w:type="paragraph" w:styleId="a8">
    <w:name w:val="List Paragraph"/>
    <w:basedOn w:val="a"/>
    <w:qFormat/>
    <w:rsid w:val="007253E6"/>
    <w:pPr>
      <w:ind w:left="720"/>
      <w:contextualSpacing/>
    </w:pPr>
  </w:style>
  <w:style w:type="character" w:customStyle="1" w:styleId="rvts23">
    <w:name w:val="rvts23"/>
    <w:basedOn w:val="a0"/>
    <w:qFormat/>
    <w:rsid w:val="007253E6"/>
    <w:rPr>
      <w:rFonts w:cs="Times New Roman"/>
    </w:rPr>
  </w:style>
  <w:style w:type="character" w:customStyle="1" w:styleId="rvts9">
    <w:name w:val="rvts9"/>
    <w:basedOn w:val="a0"/>
    <w:qFormat/>
    <w:rsid w:val="007253E6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qFormat/>
    <w:rsid w:val="007253E6"/>
    <w:rPr>
      <w:rFonts w:cs="Times New Roman"/>
      <w:color w:val="0000FF"/>
      <w:u w:val="single"/>
    </w:rPr>
  </w:style>
  <w:style w:type="paragraph" w:customStyle="1" w:styleId="rvps7">
    <w:name w:val="rvps7"/>
    <w:basedOn w:val="a"/>
    <w:rsid w:val="005B14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5B14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4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744397"/>
    <w:rPr>
      <w:rFonts w:ascii="Courier New" w:eastAsia="Times New Roman" w:hAnsi="Courier New" w:cs="Courier New"/>
      <w:color w:val="000000"/>
      <w:sz w:val="21"/>
      <w:szCs w:val="21"/>
      <w:lang w:val="uk-UA" w:eastAsia="ru-RU"/>
    </w:rPr>
  </w:style>
  <w:style w:type="paragraph" w:customStyle="1" w:styleId="rvps17">
    <w:name w:val="rvps17"/>
    <w:basedOn w:val="a"/>
    <w:rsid w:val="00EC320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EC3200"/>
  </w:style>
  <w:style w:type="character" w:customStyle="1" w:styleId="rvts15">
    <w:name w:val="rvts15"/>
    <w:basedOn w:val="a0"/>
    <w:rsid w:val="00EC3200"/>
  </w:style>
  <w:style w:type="paragraph" w:styleId="a9">
    <w:name w:val="Balloon Text"/>
    <w:basedOn w:val="a"/>
    <w:link w:val="aa"/>
    <w:uiPriority w:val="99"/>
    <w:semiHidden/>
    <w:unhideWhenUsed/>
    <w:rsid w:val="00EC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200"/>
    <w:rPr>
      <w:rFonts w:ascii="Tahoma" w:eastAsia="Calibri" w:hAnsi="Tahoma" w:cs="Tahoma"/>
      <w:sz w:val="16"/>
      <w:szCs w:val="16"/>
    </w:rPr>
  </w:style>
  <w:style w:type="paragraph" w:customStyle="1" w:styleId="2">
    <w:name w:val="Абзац списка2"/>
    <w:basedOn w:val="a"/>
    <w:rsid w:val="00C63D67"/>
    <w:pPr>
      <w:widowControl w:val="0"/>
      <w:ind w:left="720"/>
      <w:contextualSpacing/>
    </w:pPr>
    <w:rPr>
      <w:rFonts w:ascii="Cambria" w:eastAsia="Liberation Serif" w:hAnsi="Cambria" w:cs="Cambria"/>
      <w:kern w:val="2"/>
      <w:lang w:val="uk-UA" w:bidi="hi-IN"/>
    </w:rPr>
  </w:style>
  <w:style w:type="paragraph" w:styleId="ab">
    <w:name w:val="Normal (Web)"/>
    <w:basedOn w:val="a"/>
    <w:uiPriority w:val="99"/>
    <w:semiHidden/>
    <w:unhideWhenUsed/>
    <w:rsid w:val="007503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243E"/>
    <w:rPr>
      <w:rFonts w:ascii="Calibri" w:eastAsia="Calibri" w:hAnsi="Calibri" w:cs="font3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4"/>
    <w:pPr>
      <w:suppressAutoHyphens/>
    </w:pPr>
    <w:rPr>
      <w:rFonts w:ascii="Calibri" w:eastAsia="Calibri" w:hAnsi="Calibri" w:cs="font3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53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7253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31">
    <w:name w:val="Основной текст 31"/>
    <w:basedOn w:val="a"/>
    <w:rsid w:val="007253E6"/>
    <w:pPr>
      <w:spacing w:before="280" w:after="280" w:line="240" w:lineRule="auto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7253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2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253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7253E6"/>
    <w:pPr>
      <w:ind w:left="720"/>
      <w:contextualSpacing/>
    </w:pPr>
    <w:rPr>
      <w:lang w:val="uk-UA"/>
    </w:rPr>
  </w:style>
  <w:style w:type="paragraph" w:customStyle="1" w:styleId="rvps12">
    <w:name w:val="rvps12"/>
    <w:basedOn w:val="a"/>
    <w:rsid w:val="007253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7253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7253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253E6"/>
    <w:rPr>
      <w:color w:val="0000FF"/>
      <w:u w:val="single"/>
    </w:rPr>
  </w:style>
  <w:style w:type="paragraph" w:styleId="a8">
    <w:name w:val="List Paragraph"/>
    <w:basedOn w:val="a"/>
    <w:qFormat/>
    <w:rsid w:val="007253E6"/>
    <w:pPr>
      <w:ind w:left="720"/>
      <w:contextualSpacing/>
    </w:pPr>
  </w:style>
  <w:style w:type="character" w:customStyle="1" w:styleId="rvts23">
    <w:name w:val="rvts23"/>
    <w:basedOn w:val="a0"/>
    <w:qFormat/>
    <w:rsid w:val="007253E6"/>
    <w:rPr>
      <w:rFonts w:cs="Times New Roman"/>
    </w:rPr>
  </w:style>
  <w:style w:type="character" w:customStyle="1" w:styleId="rvts9">
    <w:name w:val="rvts9"/>
    <w:basedOn w:val="a0"/>
    <w:qFormat/>
    <w:rsid w:val="007253E6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qFormat/>
    <w:rsid w:val="007253E6"/>
    <w:rPr>
      <w:rFonts w:cs="Times New Roman"/>
      <w:color w:val="0000FF"/>
      <w:u w:val="single"/>
    </w:rPr>
  </w:style>
  <w:style w:type="paragraph" w:customStyle="1" w:styleId="rvps7">
    <w:name w:val="rvps7"/>
    <w:basedOn w:val="a"/>
    <w:rsid w:val="005B14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5B14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4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744397"/>
    <w:rPr>
      <w:rFonts w:ascii="Courier New" w:eastAsia="Times New Roman" w:hAnsi="Courier New" w:cs="Courier New"/>
      <w:color w:val="000000"/>
      <w:sz w:val="21"/>
      <w:szCs w:val="21"/>
      <w:lang w:val="uk-UA" w:eastAsia="ru-RU"/>
    </w:rPr>
  </w:style>
  <w:style w:type="paragraph" w:customStyle="1" w:styleId="rvps17">
    <w:name w:val="rvps17"/>
    <w:basedOn w:val="a"/>
    <w:rsid w:val="00EC320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EC3200"/>
  </w:style>
  <w:style w:type="character" w:customStyle="1" w:styleId="rvts15">
    <w:name w:val="rvts15"/>
    <w:basedOn w:val="a0"/>
    <w:rsid w:val="00EC3200"/>
  </w:style>
  <w:style w:type="paragraph" w:styleId="a9">
    <w:name w:val="Balloon Text"/>
    <w:basedOn w:val="a"/>
    <w:link w:val="aa"/>
    <w:uiPriority w:val="99"/>
    <w:semiHidden/>
    <w:unhideWhenUsed/>
    <w:rsid w:val="00EC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200"/>
    <w:rPr>
      <w:rFonts w:ascii="Tahoma" w:eastAsia="Calibri" w:hAnsi="Tahoma" w:cs="Tahoma"/>
      <w:sz w:val="16"/>
      <w:szCs w:val="16"/>
    </w:rPr>
  </w:style>
  <w:style w:type="paragraph" w:customStyle="1" w:styleId="2">
    <w:name w:val="Абзац списка2"/>
    <w:basedOn w:val="a"/>
    <w:rsid w:val="00C63D67"/>
    <w:pPr>
      <w:widowControl w:val="0"/>
      <w:ind w:left="720"/>
      <w:contextualSpacing/>
    </w:pPr>
    <w:rPr>
      <w:rFonts w:ascii="Cambria" w:eastAsia="Liberation Serif" w:hAnsi="Cambria" w:cs="Cambria"/>
      <w:kern w:val="2"/>
      <w:lang w:val="uk-UA" w:bidi="hi-IN"/>
    </w:rPr>
  </w:style>
  <w:style w:type="paragraph" w:styleId="ab">
    <w:name w:val="Normal (Web)"/>
    <w:basedOn w:val="a"/>
    <w:uiPriority w:val="99"/>
    <w:semiHidden/>
    <w:unhideWhenUsed/>
    <w:rsid w:val="007503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243E"/>
    <w:rPr>
      <w:rFonts w:ascii="Calibri" w:eastAsia="Calibri" w:hAnsi="Calibri" w:cs="font3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2573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20590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33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61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40301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5407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7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8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2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0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c.gov.ua/ua/Rehuliatorna-diialnis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c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50F5-7816-4DB7-BCBC-BEEA5A89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21</Pages>
  <Words>4831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163</cp:revision>
  <dcterms:created xsi:type="dcterms:W3CDTF">2022-06-14T08:01:00Z</dcterms:created>
  <dcterms:modified xsi:type="dcterms:W3CDTF">2022-08-11T06:51:00Z</dcterms:modified>
</cp:coreProperties>
</file>