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F4AC" w14:textId="77777777" w:rsidR="00885EDE" w:rsidRPr="00236197" w:rsidRDefault="00885EDE" w:rsidP="00885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6ED12141" w14:textId="1CCF8CB4" w:rsidR="00885EDE" w:rsidRPr="00236197" w:rsidRDefault="00885EDE" w:rsidP="007C5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1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C5EA2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КРАІЛ </w:t>
      </w:r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9817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внесення змін до</w:t>
      </w:r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уніфікованої форми </w:t>
      </w:r>
      <w:proofErr w:type="spellStart"/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складено</w:t>
      </w:r>
      <w:r w:rsidR="00DB3C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</w:t>
      </w:r>
      <w:r w:rsidR="00FE06C0"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ігор»</w:t>
      </w:r>
    </w:p>
    <w:p w14:paraId="67F5B259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7E45C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Мета</w:t>
      </w:r>
    </w:p>
    <w:p w14:paraId="64E3B50A" w14:textId="469DA63E" w:rsidR="00E1633F" w:rsidRPr="00236197" w:rsidRDefault="00303E3C" w:rsidP="00FE0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3619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DAD" w:rsidRPr="0023619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</w:t>
      </w:r>
      <w:r w:rsidR="009817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внесення змін до</w:t>
      </w:r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уніфікованої форми </w:t>
      </w:r>
      <w:proofErr w:type="spellStart"/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</w:t>
      </w:r>
      <w:r w:rsidR="00DB3C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="00FE06C0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ігор» </w:t>
      </w:r>
      <w:r w:rsidR="00692237"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</w:t>
      </w:r>
      <w:proofErr w:type="spellStart"/>
      <w:r w:rsidR="00692237"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692237"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рішення)</w:t>
      </w:r>
      <w:r w:rsidR="00D65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2237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розроблено з метою </w:t>
      </w:r>
      <w:r w:rsidR="009E46FB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забезпечення </w:t>
      </w:r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актуалізації уніфікованої форми </w:t>
      </w:r>
      <w:proofErr w:type="spellStart"/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</w:t>
      </w:r>
      <w:r w:rsidR="006F13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="00E1633F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431A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врахування досвіду її застосування під час здійснення </w:t>
      </w:r>
      <w:r w:rsidR="00431A22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планов</w:t>
      </w:r>
      <w:r w:rsidR="00431A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их</w:t>
      </w:r>
      <w:r w:rsidR="00431A22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(позапланов</w:t>
      </w:r>
      <w:r w:rsidR="00431A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их</w:t>
      </w:r>
      <w:r w:rsidR="00431A22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 заход</w:t>
      </w:r>
      <w:r w:rsidR="00431A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</w:t>
      </w:r>
      <w:r w:rsidR="00431A22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431A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060D968E" w14:textId="0884D402" w:rsidR="003758C4" w:rsidRPr="00236197" w:rsidRDefault="003758C4" w:rsidP="00692237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</w:p>
    <w:p w14:paraId="52557A09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3DB77305" w14:textId="4C35E9A4" w:rsidR="00981736" w:rsidRDefault="00E1633F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Уніфіковану форму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</w:t>
      </w:r>
      <w:r w:rsidR="00DB3C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ого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було затверджено рішенням КРАІЛ від 25 жовтня 2021 року № 681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уніфікованої форми </w:t>
      </w:r>
      <w:proofErr w:type="spellStart"/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 зареєстрован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F13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Міністерстві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юстиції України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 листопада 2021 р</w:t>
      </w:r>
      <w:r w:rsidR="006C4EBE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оку </w:t>
      </w:r>
      <w:r w:rsidR="006C4EBE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№ 1490/37112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7F5179EA" w14:textId="7FC0CA1A" w:rsidR="003831B5" w:rsidRPr="00236197" w:rsidRDefault="00E1633F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 час дії зазначеного рішення КРАІЛ прийнято 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низку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нормативно-правових актів у сфері організації та проведення азартних ігор</w:t>
      </w:r>
      <w:r w:rsidR="006010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які набули чинності протягом 2021–2024 років.</w:t>
      </w:r>
    </w:p>
    <w:p w14:paraId="78A488AA" w14:textId="4985B71F" w:rsidR="00E1633F" w:rsidRDefault="00384069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огляду на зазначене, </w:t>
      </w:r>
      <w:r w:rsidR="006F13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ерелік нормативно-правових актів, відповідно до яких складено перелік питань для проведення заходу державного нагляду (контролю), як складова частина уніфікованої форми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складено</w:t>
      </w:r>
      <w:r w:rsidR="008B58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 потребує доповнення.</w:t>
      </w:r>
    </w:p>
    <w:p w14:paraId="181EA05B" w14:textId="29CEF7EE" w:rsidR="00A24192" w:rsidRDefault="006764EB" w:rsidP="00383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Крім того, </w:t>
      </w:r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Уніфікованій </w:t>
      </w:r>
      <w:r w:rsidR="00A24192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форм</w:t>
      </w:r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A24192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24192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A24192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складеного за результатами проведення планового (позапланового) заходу державного нагляду (контролю) </w:t>
      </w:r>
      <w:r w:rsidR="00A24192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щодо дотримання суб’єктом господарювання вимог законодавства у сфері організації та проведення азартних ігор</w:t>
      </w:r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(далі – </w:t>
      </w:r>
      <w:r w:rsidR="001651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ніфікована форма </w:t>
      </w:r>
      <w:proofErr w:type="spellStart"/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), що пропонується затвердити </w:t>
      </w:r>
      <w:proofErr w:type="spellStart"/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рішення, передбачається зазначення </w:t>
      </w:r>
      <w:r w:rsidR="009F7D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інформації стосовно</w:t>
      </w:r>
      <w:r w:rsidR="00A241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юридичної особи (відокремленого підрозділу).    </w:t>
      </w:r>
    </w:p>
    <w:p w14:paraId="4094A313" w14:textId="08F68E3A" w:rsidR="00A24192" w:rsidRPr="001038A2" w:rsidRDefault="00A24192" w:rsidP="009D4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Так, 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пунктом 37 частини першої статті 1 Закону України «</w:t>
      </w:r>
      <w:r w:rsidR="001038A2" w:rsidRP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державне регулювання діяльності щодо організації та проведення азартних ігор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встановлено, що </w:t>
      </w:r>
      <w:r w:rsidR="001038A2" w:rsidRP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організатор азартних ігор </w:t>
      </w:r>
      <w:r w:rsidR="006F13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="001038A2" w:rsidRP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юридична особа - резидент України, яка на підставі отриманої ліцензії має право здійснювати зазначений у такій ліцензії вид діяльності з організації та проведення азартних ігор відповідно до вимог цього Закону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61C8EC27" w14:textId="2266D04F" w:rsidR="00346EB6" w:rsidRDefault="00A24192" w:rsidP="009D4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Крім того, </w:t>
      </w:r>
      <w:r w:rsidR="006764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досвід застосування </w:t>
      </w:r>
      <w:r w:rsidR="00A0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6764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ніфікованої </w:t>
      </w:r>
      <w:r w:rsidR="006764EB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форми </w:t>
      </w:r>
      <w:proofErr w:type="spellStart"/>
      <w:r w:rsidR="006764EB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346E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затвердженого </w:t>
      </w:r>
      <w:r w:rsidR="00346EB6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КРАІЛ від 25 жовтня 2021 року № 681</w:t>
      </w:r>
      <w:r w:rsidR="00346E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зареєстрованим у</w:t>
      </w:r>
      <w:r w:rsidR="00346EB6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Міністерстві</w:t>
      </w:r>
      <w:r w:rsidR="00346EB6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46EB6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юстиції України</w:t>
      </w:r>
      <w:r w:rsidR="00346EB6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46EB6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 листопада 2021 р</w:t>
      </w:r>
      <w:r w:rsidR="00346EB6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оку </w:t>
      </w:r>
      <w:r w:rsidR="00346EB6" w:rsidRPr="00500D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№ 1490/37112</w:t>
      </w:r>
      <w:r w:rsidR="00346E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6764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 час проведення заходів державного нагляду (контролю)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підтвердив</w:t>
      </w:r>
      <w:r w:rsidR="009F7D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відсутність випадків його складення стосовно фізичної особи </w:t>
      </w:r>
      <w:r w:rsidR="006F13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9F7D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підприємця.</w:t>
      </w:r>
    </w:p>
    <w:p w14:paraId="6FB87A4C" w14:textId="1FF30EBB" w:rsidR="006764EB" w:rsidRDefault="009F7D21" w:rsidP="009D4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Також </w:t>
      </w:r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</w:t>
      </w:r>
      <w:r w:rsidR="001651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ніфікованій формі </w:t>
      </w:r>
      <w:proofErr w:type="spellStart"/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що пропонується затвердити </w:t>
      </w:r>
      <w:proofErr w:type="spellStart"/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рішення, врах</w:t>
      </w:r>
      <w:r w:rsidR="003733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</w:t>
      </w:r>
      <w:r w:rsidR="009817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ні</w:t>
      </w:r>
      <w:r w:rsidR="00D74B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положення Закону України «Про електронні комунікації».</w:t>
      </w:r>
    </w:p>
    <w:p w14:paraId="04DD7C51" w14:textId="77777777" w:rsidR="00E1633F" w:rsidRPr="00236197" w:rsidRDefault="00E1633F" w:rsidP="009D4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DE69CD2" w14:textId="77777777" w:rsidR="00885EDE" w:rsidRPr="00236197" w:rsidRDefault="00885EDE" w:rsidP="009D4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221C4C16" w14:textId="0965B996" w:rsidR="00A25C05" w:rsidRPr="00236197" w:rsidRDefault="009D28BF" w:rsidP="009D4D75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bCs/>
          <w:sz w:val="28"/>
          <w:szCs w:val="28"/>
          <w:lang w:val="uk-UA"/>
        </w:rPr>
      </w:pPr>
      <w:proofErr w:type="spellStart"/>
      <w:r w:rsidRPr="00236197">
        <w:rPr>
          <w:sz w:val="28"/>
          <w:szCs w:val="28"/>
          <w:lang w:val="uk-UA"/>
        </w:rPr>
        <w:t>Проєктом</w:t>
      </w:r>
      <w:proofErr w:type="spellEnd"/>
      <w:r w:rsidRPr="00236197">
        <w:rPr>
          <w:sz w:val="28"/>
          <w:szCs w:val="28"/>
          <w:lang w:val="uk-UA"/>
        </w:rPr>
        <w:t xml:space="preserve"> </w:t>
      </w:r>
      <w:r w:rsidR="00A25C05" w:rsidRPr="00236197">
        <w:rPr>
          <w:sz w:val="28"/>
          <w:szCs w:val="28"/>
          <w:lang w:val="uk-UA"/>
        </w:rPr>
        <w:t>рішення</w:t>
      </w:r>
      <w:r w:rsidRPr="00236197">
        <w:rPr>
          <w:sz w:val="28"/>
          <w:szCs w:val="28"/>
          <w:lang w:val="uk-UA"/>
        </w:rPr>
        <w:t xml:space="preserve"> пропонується </w:t>
      </w:r>
      <w:r w:rsidR="0016514A">
        <w:rPr>
          <w:sz w:val="28"/>
          <w:szCs w:val="28"/>
          <w:lang w:val="uk-UA"/>
        </w:rPr>
        <w:t>затвердити</w:t>
      </w:r>
      <w:r w:rsidR="00384069" w:rsidRPr="00236197">
        <w:rPr>
          <w:sz w:val="28"/>
          <w:szCs w:val="28"/>
          <w:lang w:val="uk-UA"/>
        </w:rPr>
        <w:t xml:space="preserve"> </w:t>
      </w:r>
      <w:r w:rsidR="0016514A">
        <w:rPr>
          <w:sz w:val="28"/>
          <w:szCs w:val="28"/>
          <w:lang w:val="uk-UA"/>
        </w:rPr>
        <w:t>у</w:t>
      </w:r>
      <w:r w:rsidR="00384069" w:rsidRPr="00236197">
        <w:rPr>
          <w:bCs/>
          <w:sz w:val="28"/>
          <w:szCs w:val="28"/>
          <w:lang w:val="uk-UA"/>
        </w:rPr>
        <w:t>ніфікован</w:t>
      </w:r>
      <w:r w:rsidR="0016514A">
        <w:rPr>
          <w:bCs/>
          <w:sz w:val="28"/>
          <w:szCs w:val="28"/>
          <w:lang w:val="uk-UA"/>
        </w:rPr>
        <w:t>у</w:t>
      </w:r>
      <w:r w:rsidR="00384069" w:rsidRPr="00236197">
        <w:rPr>
          <w:bCs/>
          <w:sz w:val="28"/>
          <w:szCs w:val="28"/>
          <w:lang w:val="uk-UA"/>
        </w:rPr>
        <w:t xml:space="preserve"> форм</w:t>
      </w:r>
      <w:r w:rsidR="00405331">
        <w:rPr>
          <w:bCs/>
          <w:sz w:val="28"/>
          <w:szCs w:val="28"/>
          <w:lang w:val="uk-UA"/>
        </w:rPr>
        <w:t>у</w:t>
      </w:r>
      <w:r w:rsidR="00384069" w:rsidRPr="00236197">
        <w:rPr>
          <w:bCs/>
          <w:sz w:val="28"/>
          <w:szCs w:val="28"/>
          <w:lang w:val="uk-UA"/>
        </w:rPr>
        <w:t xml:space="preserve"> </w:t>
      </w:r>
      <w:proofErr w:type="spellStart"/>
      <w:r w:rsidR="00384069" w:rsidRPr="00236197">
        <w:rPr>
          <w:bCs/>
          <w:sz w:val="28"/>
          <w:szCs w:val="28"/>
          <w:lang w:val="uk-UA"/>
        </w:rPr>
        <w:t>акта</w:t>
      </w:r>
      <w:proofErr w:type="spellEnd"/>
      <w:r w:rsidR="00384069" w:rsidRPr="00236197">
        <w:rPr>
          <w:bCs/>
          <w:sz w:val="28"/>
          <w:szCs w:val="28"/>
          <w:lang w:val="uk-UA"/>
        </w:rPr>
        <w:t>, складено</w:t>
      </w:r>
      <w:r w:rsidR="008B58A0">
        <w:rPr>
          <w:bCs/>
          <w:sz w:val="28"/>
          <w:szCs w:val="28"/>
          <w:lang w:val="uk-UA"/>
        </w:rPr>
        <w:t>го</w:t>
      </w:r>
      <w:r w:rsidR="00384069" w:rsidRPr="00236197">
        <w:rPr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6F131F">
        <w:rPr>
          <w:bCs/>
          <w:sz w:val="28"/>
          <w:szCs w:val="28"/>
          <w:lang w:val="uk-UA"/>
        </w:rPr>
        <w:t>,</w:t>
      </w:r>
      <w:r w:rsidR="00981736">
        <w:rPr>
          <w:bCs/>
          <w:sz w:val="28"/>
          <w:szCs w:val="28"/>
          <w:lang w:val="uk-UA"/>
        </w:rPr>
        <w:t xml:space="preserve"> </w:t>
      </w:r>
      <w:r w:rsidR="006F131F">
        <w:rPr>
          <w:bCs/>
          <w:sz w:val="28"/>
          <w:szCs w:val="28"/>
          <w:lang w:val="uk-UA"/>
        </w:rPr>
        <w:t>у</w:t>
      </w:r>
      <w:r w:rsidR="00981736">
        <w:rPr>
          <w:bCs/>
          <w:sz w:val="28"/>
          <w:szCs w:val="28"/>
          <w:lang w:val="uk-UA"/>
        </w:rPr>
        <w:t xml:space="preserve"> новій редакції</w:t>
      </w:r>
      <w:r w:rsidR="00384069" w:rsidRPr="00236197">
        <w:rPr>
          <w:bCs/>
          <w:sz w:val="28"/>
          <w:szCs w:val="28"/>
          <w:lang w:val="uk-UA"/>
        </w:rPr>
        <w:t>.</w:t>
      </w:r>
    </w:p>
    <w:p w14:paraId="3DCF8382" w14:textId="77777777" w:rsidR="00384069" w:rsidRPr="00236197" w:rsidRDefault="00384069" w:rsidP="00384069">
      <w:pPr>
        <w:shd w:val="clear" w:color="auto" w:fill="FFFFFF"/>
        <w:suppressAutoHyphens w:val="0"/>
        <w:spacing w:after="0" w:line="240" w:lineRule="auto"/>
        <w:ind w:left="-2" w:firstLineChars="0" w:firstLine="56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AA0E3CA" w14:textId="2FD5AC9A" w:rsidR="00885EDE" w:rsidRPr="00236197" w:rsidRDefault="00885EDE" w:rsidP="00384069">
      <w:pPr>
        <w:shd w:val="clear" w:color="auto" w:fill="FFFFFF"/>
        <w:suppressAutoHyphens w:val="0"/>
        <w:spacing w:after="0" w:line="240" w:lineRule="auto"/>
        <w:ind w:left="-2" w:firstLineChars="0"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6E7DB91C" w14:textId="37B39AA4" w:rsidR="00500D3F" w:rsidRPr="00500D3F" w:rsidRDefault="00885EDE" w:rsidP="00500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2" w:firstLine="566"/>
        <w:jc w:val="both"/>
        <w:textDirection w:val="lrTb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Правовими засадами розробки </w:t>
      </w:r>
      <w:proofErr w:type="spellStart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84069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 </w:t>
      </w:r>
      <w:r w:rsidR="00384069" w:rsidRPr="00236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Закон України «Про державне регулювання діяльності щодо організації та проведення азартних ігор»; Закон України  «Про основні засади державного нагляду (контролю) у сфері господарської діяльності»;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Комісію з регулювання азартних ігор та лотерей, затверджен</w:t>
      </w:r>
      <w:r w:rsidR="0053713C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постановою Кабінету Міністрів України від 23</w:t>
      </w:r>
      <w:r w:rsidR="006F13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вересня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>2020</w:t>
      </w:r>
      <w:r w:rsidR="006F13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891; Методика розроблення уніфікованих форм актів, що складаються за результатами планових заходів державного нагляду (контролю), затверджен</w:t>
      </w:r>
      <w:r w:rsidR="005371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постановою Кабінету Міністрів України </w:t>
      </w:r>
      <w:r w:rsidR="006F13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>від 10</w:t>
      </w:r>
      <w:r w:rsidR="006F13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травня 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>2018</w:t>
      </w:r>
      <w:r w:rsidR="006F13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384069" w:rsidRPr="002361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342</w:t>
      </w:r>
      <w:r w:rsidR="004053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9DAC8D1" w14:textId="683349A0" w:rsidR="00384069" w:rsidRPr="00236197" w:rsidRDefault="00384069" w:rsidP="00384069">
      <w:pPr>
        <w:spacing w:after="0" w:line="240" w:lineRule="auto"/>
        <w:ind w:leftChars="0" w:left="1" w:firstLineChars="202" w:firstLine="444"/>
        <w:jc w:val="both"/>
        <w:rPr>
          <w:lang w:val="uk-UA"/>
        </w:rPr>
      </w:pPr>
    </w:p>
    <w:p w14:paraId="346AE2B6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03883D8F" w14:textId="43A5F1C8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та реалізація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BE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потребують виділення</w:t>
      </w: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додаткових коштів 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Державного бюджету України та місцевих бюджетів.</w:t>
      </w:r>
    </w:p>
    <w:p w14:paraId="1CAE3778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92C9FD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2F8F3B78" w14:textId="77777777" w:rsidR="00A670D8" w:rsidRPr="00236197" w:rsidRDefault="00A670D8" w:rsidP="00A670D8">
      <w:pPr>
        <w:tabs>
          <w:tab w:val="left" w:pos="0"/>
          <w:tab w:val="center" w:pos="4819"/>
          <w:tab w:val="right" w:pos="9639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рішення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потребує погодження </w:t>
      </w:r>
      <w:r w:rsidRPr="00236197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>Державною регуляторною службою України.</w:t>
      </w:r>
    </w:p>
    <w:p w14:paraId="1F64C896" w14:textId="2103F308" w:rsidR="00885EDE" w:rsidRPr="00236197" w:rsidRDefault="00885EDE" w:rsidP="00A670D8">
      <w:pPr>
        <w:tabs>
          <w:tab w:val="left" w:pos="0"/>
          <w:tab w:val="center" w:pos="4819"/>
          <w:tab w:val="right" w:pos="9639"/>
        </w:tabs>
        <w:spacing w:after="0" w:line="240" w:lineRule="auto"/>
        <w:ind w:leftChars="0" w:left="0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BE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A01D6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отже не потребує погодження з уповноваженими представниками всеукраїнських асоціацій органів місцевого самоврядування чи відповідних органів місцевого самоврядування, уповноваженими представниками всеукраїнських профспілок, їх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ніх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об’єднань та всеукраїнськими об’єднаннями організацій роботодавців. </w:t>
      </w:r>
    </w:p>
    <w:p w14:paraId="786FF5CF" w14:textId="5F691916" w:rsidR="00885EDE" w:rsidRPr="00236197" w:rsidRDefault="00A01D6F" w:rsidP="00A67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885ED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консультацій 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85EDE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громадськістю. </w:t>
      </w:r>
    </w:p>
    <w:p w14:paraId="7A3605CD" w14:textId="54DBDA0F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</w:t>
      </w:r>
      <w:r w:rsidR="007C5EA2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діяльності та не потребує розгляду Науковим комітетом Національної ради з питань розвитку науки і технологій.</w:t>
      </w:r>
    </w:p>
    <w:p w14:paraId="05897034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A22F92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5D079BC0" w14:textId="2AEB191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що містять ознаки дискримінації.</w:t>
      </w:r>
    </w:p>
    <w:p w14:paraId="07EEF8EF" w14:textId="56D7CEAC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антидискримінаційної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експертизи.</w:t>
      </w:r>
    </w:p>
    <w:p w14:paraId="75D096AD" w14:textId="7E8A4326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які порушують принцип забезпечення рівних прав та можливостей жінок і чоловіків, </w:t>
      </w:r>
      <w:r w:rsidR="00A45B6C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відсутні правила і процедури, які можуть містити ризики вчинення корупційних правопорушень.</w:t>
      </w:r>
    </w:p>
    <w:p w14:paraId="5E317158" w14:textId="6D160BFE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антикорупційної експертизи.</w:t>
      </w:r>
    </w:p>
    <w:p w14:paraId="29D6189C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7AD1C5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6351D32E" w14:textId="77777777" w:rsidR="00236197" w:rsidRPr="00236197" w:rsidRDefault="00885EDE" w:rsidP="00236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</w:t>
      </w:r>
      <w:proofErr w:type="spellStart"/>
      <w:r w:rsidR="002B7621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B7621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дозволить</w:t>
      </w:r>
      <w:r w:rsidR="009765DD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7839F2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заходів державного нагляду (контролю) у сфері </w:t>
      </w:r>
      <w:r w:rsidR="00236197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та проведення азартних ігор.</w:t>
      </w:r>
    </w:p>
    <w:p w14:paraId="38F1EA83" w14:textId="6225BB5E" w:rsidR="00885EDE" w:rsidRPr="00236197" w:rsidRDefault="00885EDE" w:rsidP="0018522B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05F"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23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14:paraId="33BE678D" w14:textId="77777777" w:rsidR="00885EDE" w:rsidRPr="00236197" w:rsidRDefault="00885EDE" w:rsidP="0038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1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975C66" w14:textId="77777777" w:rsidR="00885EDE" w:rsidRPr="00236197" w:rsidRDefault="00885EDE" w:rsidP="00885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51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EBC882" w14:textId="572CC979" w:rsidR="0018522B" w:rsidRPr="00236197" w:rsidRDefault="00981736" w:rsidP="00885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Голова КРАІЛ</w:t>
      </w:r>
      <w:r w:rsidR="003D5BB2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8522B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18522B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3D5BB2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3D5BB2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3D5BB2"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Іван РУДИЙ</w:t>
      </w:r>
    </w:p>
    <w:sectPr w:rsidR="0018522B" w:rsidRPr="00236197" w:rsidSect="00303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A9EA" w14:textId="77777777" w:rsidR="00347F49" w:rsidRDefault="00347F49" w:rsidP="00CD3B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3F4DF6" w14:textId="77777777" w:rsidR="00347F49" w:rsidRDefault="00347F49" w:rsidP="00CD3B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C013" w14:textId="77777777" w:rsidR="00347F49" w:rsidRDefault="00347F4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872C" w14:textId="77777777" w:rsidR="00347F49" w:rsidRDefault="00347F4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FFBB" w14:textId="77777777" w:rsidR="00347F49" w:rsidRDefault="00347F4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4FC2" w14:textId="77777777" w:rsidR="00347F49" w:rsidRDefault="00347F49" w:rsidP="00CD3B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D45AC1" w14:textId="77777777" w:rsidR="00347F49" w:rsidRDefault="00347F49" w:rsidP="00CD3B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0E08" w14:textId="77777777" w:rsidR="00347F49" w:rsidRDefault="00347F49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6045" w14:textId="77777777" w:rsidR="00347F49" w:rsidRPr="00D53319" w:rsidRDefault="00347F49" w:rsidP="00303E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63268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 w:rsidRPr="00D53319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30C2" w14:textId="77777777" w:rsidR="00347F49" w:rsidRDefault="00347F49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3E08"/>
    <w:multiLevelType w:val="hybridMultilevel"/>
    <w:tmpl w:val="D59674DC"/>
    <w:lvl w:ilvl="0" w:tplc="386CD0EE">
      <w:start w:val="1"/>
      <w:numFmt w:val="decimal"/>
      <w:lvlText w:val="%1."/>
      <w:lvlJc w:val="left"/>
      <w:pPr>
        <w:ind w:left="840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91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DE"/>
    <w:rsid w:val="000D3767"/>
    <w:rsid w:val="000E201B"/>
    <w:rsid w:val="001038A2"/>
    <w:rsid w:val="00140634"/>
    <w:rsid w:val="0016514A"/>
    <w:rsid w:val="0018522B"/>
    <w:rsid w:val="00236197"/>
    <w:rsid w:val="00266515"/>
    <w:rsid w:val="00267299"/>
    <w:rsid w:val="002B7621"/>
    <w:rsid w:val="00303E3C"/>
    <w:rsid w:val="00346EB6"/>
    <w:rsid w:val="00347F49"/>
    <w:rsid w:val="00363268"/>
    <w:rsid w:val="00373303"/>
    <w:rsid w:val="003758C4"/>
    <w:rsid w:val="003831B5"/>
    <w:rsid w:val="00384069"/>
    <w:rsid w:val="00386BCE"/>
    <w:rsid w:val="00390349"/>
    <w:rsid w:val="003C3E33"/>
    <w:rsid w:val="003D5BB2"/>
    <w:rsid w:val="003E2B73"/>
    <w:rsid w:val="00405331"/>
    <w:rsid w:val="00407227"/>
    <w:rsid w:val="00417DAD"/>
    <w:rsid w:val="00431A22"/>
    <w:rsid w:val="004D520D"/>
    <w:rsid w:val="00500D3F"/>
    <w:rsid w:val="00533876"/>
    <w:rsid w:val="005338A2"/>
    <w:rsid w:val="0053713C"/>
    <w:rsid w:val="00584C05"/>
    <w:rsid w:val="005E2851"/>
    <w:rsid w:val="006010CB"/>
    <w:rsid w:val="00617A3B"/>
    <w:rsid w:val="0062010F"/>
    <w:rsid w:val="006764EB"/>
    <w:rsid w:val="00692237"/>
    <w:rsid w:val="006B483A"/>
    <w:rsid w:val="006C15B8"/>
    <w:rsid w:val="006C4EBE"/>
    <w:rsid w:val="006F131F"/>
    <w:rsid w:val="00736AFA"/>
    <w:rsid w:val="007400C7"/>
    <w:rsid w:val="007839F2"/>
    <w:rsid w:val="0079180D"/>
    <w:rsid w:val="007A1051"/>
    <w:rsid w:val="007A1A51"/>
    <w:rsid w:val="007C5EA2"/>
    <w:rsid w:val="007E52A6"/>
    <w:rsid w:val="007E605F"/>
    <w:rsid w:val="00811334"/>
    <w:rsid w:val="00870942"/>
    <w:rsid w:val="00874B96"/>
    <w:rsid w:val="00880BC5"/>
    <w:rsid w:val="00885EDE"/>
    <w:rsid w:val="008B58A0"/>
    <w:rsid w:val="009765DD"/>
    <w:rsid w:val="00981736"/>
    <w:rsid w:val="009B210A"/>
    <w:rsid w:val="009D22B1"/>
    <w:rsid w:val="009D28BF"/>
    <w:rsid w:val="009D4D75"/>
    <w:rsid w:val="009E46FB"/>
    <w:rsid w:val="009F7D21"/>
    <w:rsid w:val="00A01D6F"/>
    <w:rsid w:val="00A05BE2"/>
    <w:rsid w:val="00A075F3"/>
    <w:rsid w:val="00A2049F"/>
    <w:rsid w:val="00A2145B"/>
    <w:rsid w:val="00A21A60"/>
    <w:rsid w:val="00A24192"/>
    <w:rsid w:val="00A25C05"/>
    <w:rsid w:val="00A45B6C"/>
    <w:rsid w:val="00A4777C"/>
    <w:rsid w:val="00A670D8"/>
    <w:rsid w:val="00AD0F54"/>
    <w:rsid w:val="00B06545"/>
    <w:rsid w:val="00B500DE"/>
    <w:rsid w:val="00B60F9F"/>
    <w:rsid w:val="00BA48E6"/>
    <w:rsid w:val="00BC1604"/>
    <w:rsid w:val="00BD790F"/>
    <w:rsid w:val="00C14D22"/>
    <w:rsid w:val="00C6711D"/>
    <w:rsid w:val="00CD3B74"/>
    <w:rsid w:val="00D65D84"/>
    <w:rsid w:val="00D74B23"/>
    <w:rsid w:val="00DA0F2A"/>
    <w:rsid w:val="00DA18C6"/>
    <w:rsid w:val="00DB2554"/>
    <w:rsid w:val="00DB3CBC"/>
    <w:rsid w:val="00E07727"/>
    <w:rsid w:val="00E1633F"/>
    <w:rsid w:val="00E40BEE"/>
    <w:rsid w:val="00E94D88"/>
    <w:rsid w:val="00EA1D2E"/>
    <w:rsid w:val="00EF6369"/>
    <w:rsid w:val="00FA0D0F"/>
    <w:rsid w:val="00FE06C0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9F9E"/>
  <w15:docId w15:val="{9673A366-907B-43B3-AD7F-E5F6B26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5ED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4">
    <w:name w:val="heading 4"/>
    <w:basedOn w:val="a"/>
    <w:link w:val="40"/>
    <w:uiPriority w:val="9"/>
    <w:qFormat/>
    <w:rsid w:val="006B483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3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85EDE"/>
    <w:pPr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85EDE"/>
    <w:rPr>
      <w:rFonts w:ascii="Calibri" w:eastAsia="Calibri" w:hAnsi="Calibri" w:cs="Calibri"/>
      <w:position w:val="-1"/>
    </w:rPr>
  </w:style>
  <w:style w:type="paragraph" w:styleId="a5">
    <w:name w:val="footer"/>
    <w:basedOn w:val="a"/>
    <w:link w:val="a6"/>
    <w:qFormat/>
    <w:rsid w:val="00885EDE"/>
    <w:pPr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885EDE"/>
    <w:rPr>
      <w:rFonts w:ascii="Calibri" w:eastAsia="Calibri" w:hAnsi="Calibri" w:cs="Calibri"/>
      <w:position w:val="-1"/>
    </w:rPr>
  </w:style>
  <w:style w:type="paragraph" w:customStyle="1" w:styleId="a7">
    <w:name w:val="Нормальний текст"/>
    <w:basedOn w:val="a"/>
    <w:rsid w:val="00885EDE"/>
    <w:pPr>
      <w:suppressAutoHyphens w:val="0"/>
      <w:spacing w:before="120" w:after="0" w:line="240" w:lineRule="auto"/>
      <w:ind w:leftChars="0" w:left="0" w:firstLineChars="0" w:firstLine="567"/>
      <w:textDirection w:val="lrTb"/>
      <w:textAlignment w:val="auto"/>
      <w:outlineLvl w:val="9"/>
    </w:pPr>
    <w:rPr>
      <w:rFonts w:ascii="Antiqua" w:eastAsia="Times New Roman" w:hAnsi="Antiqua" w:cs="Times New Roman"/>
      <w:position w:val="0"/>
      <w:sz w:val="26"/>
      <w:szCs w:val="20"/>
      <w:lang w:val="uk-UA" w:eastAsia="ru-RU"/>
    </w:rPr>
  </w:style>
  <w:style w:type="paragraph" w:customStyle="1" w:styleId="rvps2">
    <w:name w:val="rvps2"/>
    <w:basedOn w:val="a"/>
    <w:qFormat/>
    <w:rsid w:val="00885E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E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B2554"/>
    <w:rPr>
      <w:rFonts w:ascii="Tahoma" w:eastAsia="Calibri" w:hAnsi="Tahoma" w:cs="Tahoma"/>
      <w:position w:val="-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B4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B483A"/>
    <w:rPr>
      <w:b/>
      <w:bCs/>
    </w:rPr>
  </w:style>
  <w:style w:type="paragraph" w:customStyle="1" w:styleId="rvps7">
    <w:name w:val="rvps7"/>
    <w:basedOn w:val="a"/>
    <w:rsid w:val="005E285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uk-UA" w:eastAsia="uk-UA"/>
    </w:rPr>
  </w:style>
  <w:style w:type="character" w:customStyle="1" w:styleId="rvts9">
    <w:name w:val="rvts9"/>
    <w:basedOn w:val="a0"/>
    <w:qFormat/>
    <w:rsid w:val="00811334"/>
  </w:style>
  <w:style w:type="character" w:customStyle="1" w:styleId="rvts0">
    <w:name w:val="rvts0"/>
    <w:qFormat/>
    <w:rsid w:val="00FE06C0"/>
  </w:style>
  <w:style w:type="paragraph" w:customStyle="1" w:styleId="1">
    <w:name w:val="Абзац списку1"/>
    <w:basedOn w:val="a"/>
    <w:rsid w:val="00384069"/>
    <w:pPr>
      <w:widowControl w:val="0"/>
      <w:ind w:leftChars="0" w:left="720" w:firstLineChars="0" w:firstLine="0"/>
      <w:contextualSpacing/>
      <w:textDirection w:val="lrTb"/>
      <w:textAlignment w:val="auto"/>
      <w:outlineLvl w:val="9"/>
    </w:pPr>
    <w:rPr>
      <w:rFonts w:ascii="Cambria" w:eastAsia="Liberation Serif" w:hAnsi="Cambria" w:cs="Cambria"/>
      <w:kern w:val="2"/>
      <w:position w:val="0"/>
      <w:lang w:val="uk-UA" w:bidi="hi-IN"/>
    </w:rPr>
  </w:style>
  <w:style w:type="paragraph" w:customStyle="1" w:styleId="rvps14">
    <w:name w:val="rvps14"/>
    <w:basedOn w:val="a"/>
    <w:rsid w:val="00500D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uk-UA" w:eastAsia="uk-UA"/>
    </w:rPr>
  </w:style>
  <w:style w:type="paragraph" w:customStyle="1" w:styleId="rvps6">
    <w:name w:val="rvps6"/>
    <w:basedOn w:val="a"/>
    <w:rsid w:val="00500D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uk-UA" w:eastAsia="uk-UA"/>
    </w:rPr>
  </w:style>
  <w:style w:type="character" w:customStyle="1" w:styleId="rvts23">
    <w:name w:val="rvts23"/>
    <w:basedOn w:val="a0"/>
    <w:rsid w:val="005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4440</Words>
  <Characters>2532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78</cp:revision>
  <cp:lastPrinted>2024-03-11T08:40:00Z</cp:lastPrinted>
  <dcterms:created xsi:type="dcterms:W3CDTF">2022-12-07T09:40:00Z</dcterms:created>
  <dcterms:modified xsi:type="dcterms:W3CDTF">2024-03-11T09:52:00Z</dcterms:modified>
</cp:coreProperties>
</file>