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0B" w:rsidRDefault="00DA3D0B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DA3D0B" w:rsidRPr="00806CCE" w:rsidRDefault="00DA3D0B">
      <w:pPr>
        <w:jc w:val="center"/>
        <w:rPr>
          <w:lang w:val="uk-UA"/>
        </w:rPr>
      </w:pPr>
      <w:bookmarkStart w:id="0" w:name="_heading=h.gwphwd4ryvt41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проєкту </w:t>
      </w:r>
      <w:bookmarkStart w:id="1" w:name="_heading=h.gwphwd4ryvt4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Комісії з регул</w:t>
      </w:r>
      <w:r w:rsidR="002E3D5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ювання азартних ігор та лотерей</w:t>
      </w:r>
      <w:r w:rsidR="001F5C40" w:rsidRPr="001F5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«Про затвердження Порядку </w:t>
      </w:r>
      <w:proofErr w:type="spellStart"/>
      <w:r w:rsidR="001F5C40" w:rsidRPr="001F5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недопуску</w:t>
      </w:r>
      <w:proofErr w:type="spellEnd"/>
      <w:r w:rsidR="001F5C40" w:rsidRPr="001F5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до участі в азартних іграх осіб, яким обмежено доступ до участі в азартних іграх, та осіб, у яких виражена ігрова залежність (</w:t>
      </w:r>
      <w:proofErr w:type="spellStart"/>
      <w:r w:rsidR="001F5C40" w:rsidRPr="001F5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лудоманія</w:t>
      </w:r>
      <w:proofErr w:type="spellEnd"/>
      <w:r w:rsidR="001F5C40" w:rsidRPr="001F5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)»</w:t>
      </w:r>
    </w:p>
    <w:p w:rsidR="00DA3D0B" w:rsidRDefault="00DA3D0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bookmarkEnd w:id="1"/>
    <w:p w:rsidR="00CB77F8" w:rsidRDefault="00DA3D0B" w:rsidP="00157745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</w:t>
      </w:r>
      <w:bookmarkStart w:id="2" w:name="_heading=h.l0ryfidw2lw"/>
      <w:r w:rsidR="001577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</w:t>
      </w:r>
    </w:p>
    <w:p w:rsidR="00DA3D0B" w:rsidRPr="00CB77F8" w:rsidRDefault="00157745" w:rsidP="005534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Метою</w:t>
      </w:r>
      <w:r w:rsidRPr="00157745"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схвалення </w:t>
      </w:r>
      <w:r w:rsidR="00DA3D0B" w:rsidRPr="00CB77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проєкту рішення </w:t>
      </w:r>
      <w:r w:rsidR="001F5C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КРАІЛ </w:t>
      </w:r>
      <w:r w:rsidR="00DA3D0B" w:rsidRPr="00CB77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DA3D0B" w:rsidRPr="00CB77F8">
        <w:rPr>
          <w:rStyle w:val="rvts9"/>
          <w:rFonts w:ascii="Times New Roman" w:eastAsia="Times New Roman" w:hAnsi="Times New Roman"/>
          <w:bCs/>
          <w:sz w:val="28"/>
          <w:szCs w:val="28"/>
          <w:highlight w:val="white"/>
          <w:lang w:val="uk-UA"/>
        </w:rPr>
        <w:t>Про затвердження</w:t>
      </w:r>
      <w:r w:rsidR="00E93CA7" w:rsidRPr="00CB77F8">
        <w:rPr>
          <w:rStyle w:val="rvts9"/>
          <w:rFonts w:ascii="Times New Roman" w:eastAsia="Times New Roman" w:hAnsi="Times New Roman"/>
          <w:b/>
          <w:sz w:val="28"/>
          <w:szCs w:val="28"/>
          <w:highlight w:val="white"/>
          <w:lang w:val="uk-UA"/>
        </w:rPr>
        <w:t xml:space="preserve"> </w:t>
      </w:r>
      <w:r w:rsidR="00E93CA7" w:rsidRPr="00CB77F8">
        <w:rPr>
          <w:rStyle w:val="rvts9"/>
          <w:rFonts w:ascii="Times New Roman" w:eastAsia="Times New Roman" w:hAnsi="Times New Roman"/>
          <w:bCs/>
          <w:sz w:val="28"/>
          <w:szCs w:val="28"/>
          <w:highlight w:val="white"/>
          <w:lang w:val="uk-UA"/>
        </w:rPr>
        <w:t xml:space="preserve">Порядку </w:t>
      </w:r>
      <w:proofErr w:type="spellStart"/>
      <w:r w:rsidR="00E93CA7" w:rsidRPr="00CB77F8">
        <w:rPr>
          <w:rStyle w:val="rvts9"/>
          <w:rFonts w:ascii="Times New Roman" w:eastAsia="Times New Roman" w:hAnsi="Times New Roman"/>
          <w:bCs/>
          <w:sz w:val="28"/>
          <w:szCs w:val="28"/>
          <w:highlight w:val="white"/>
          <w:lang w:val="uk-UA"/>
        </w:rPr>
        <w:t>недопуску</w:t>
      </w:r>
      <w:proofErr w:type="spellEnd"/>
      <w:r w:rsidR="00E93CA7" w:rsidRPr="00CB77F8">
        <w:rPr>
          <w:rStyle w:val="rvts9"/>
          <w:rFonts w:ascii="Times New Roman" w:eastAsia="Times New Roman" w:hAnsi="Times New Roman"/>
          <w:bCs/>
          <w:sz w:val="28"/>
          <w:szCs w:val="28"/>
          <w:highlight w:val="white"/>
          <w:lang w:val="uk-UA"/>
        </w:rPr>
        <w:t xml:space="preserve"> до участі в азартних іграх осіб, яким обмежено доступ до участі в азартних іграх, та осіб, у яких виражена ігрова залежність (</w:t>
      </w:r>
      <w:proofErr w:type="spellStart"/>
      <w:r w:rsidR="00E93CA7" w:rsidRPr="00CB77F8">
        <w:rPr>
          <w:rStyle w:val="rvts9"/>
          <w:rFonts w:ascii="Times New Roman" w:eastAsia="Times New Roman" w:hAnsi="Times New Roman"/>
          <w:bCs/>
          <w:sz w:val="28"/>
          <w:szCs w:val="28"/>
          <w:highlight w:val="white"/>
          <w:lang w:val="uk-UA"/>
        </w:rPr>
        <w:t>лудоманія</w:t>
      </w:r>
      <w:proofErr w:type="spellEnd"/>
      <w:r w:rsidR="00E93CA7" w:rsidRPr="00CB77F8">
        <w:rPr>
          <w:rStyle w:val="rvts9"/>
          <w:rFonts w:ascii="Times New Roman" w:eastAsia="Times New Roman" w:hAnsi="Times New Roman"/>
          <w:bCs/>
          <w:sz w:val="28"/>
          <w:szCs w:val="28"/>
          <w:highlight w:val="white"/>
          <w:lang w:val="uk-UA"/>
        </w:rPr>
        <w:t>)</w:t>
      </w:r>
      <w:r w:rsidR="00DA3D0B" w:rsidRPr="00CB77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» </w:t>
      </w:r>
      <w:r w:rsidR="004439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="00DA3D0B" w:rsidRPr="00CB77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(далі </w:t>
      </w:r>
      <w:r w:rsidR="00DA3D0B" w:rsidRPr="00CB77F8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–</w:t>
      </w:r>
      <w:r w:rsidR="00DA3D0B" w:rsidRPr="00CB77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A3D0B" w:rsidRPr="00CB77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DA3D0B" w:rsidRPr="00CB77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рішення)</w:t>
      </w:r>
      <w:r w:rsidR="00756727" w:rsidRPr="00CB77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є</w:t>
      </w:r>
      <w:r w:rsidR="00756727" w:rsidRPr="00CB77F8">
        <w:rPr>
          <w:rFonts w:ascii="Times New Roman" w:eastAsia="Times New Roman" w:hAnsi="Times New Roman" w:cs="Times New Roman"/>
          <w:kern w:val="3"/>
          <w:sz w:val="28"/>
          <w:szCs w:val="28"/>
          <w:highlight w:val="white"/>
          <w:shd w:val="clear" w:color="auto" w:fill="FFFFFF"/>
          <w:lang w:val="uk-UA" w:eastAsia="zh-CN"/>
        </w:rPr>
        <w:t xml:space="preserve"> мінімізація негативних наслідків участі фізичної особи в азартній грі</w:t>
      </w:r>
      <w:r w:rsidR="00756727" w:rsidRPr="00CB77F8">
        <w:rPr>
          <w:rFonts w:ascii="Times New Roman" w:eastAsia="NSimSun" w:hAnsi="Times New Roman" w:cs="Times New Roman"/>
          <w:kern w:val="3"/>
          <w:sz w:val="28"/>
          <w:szCs w:val="28"/>
          <w:lang w:val="uk-UA" w:eastAsia="zh-CN"/>
        </w:rPr>
        <w:t xml:space="preserve"> шляхом встановлення п</w:t>
      </w:r>
      <w:r w:rsidR="00756727" w:rsidRPr="00CB77F8">
        <w:rPr>
          <w:rStyle w:val="rvts9"/>
          <w:rFonts w:ascii="Times New Roman" w:eastAsia="Times New Roman" w:hAnsi="Times New Roman"/>
          <w:bCs/>
          <w:sz w:val="28"/>
          <w:szCs w:val="28"/>
          <w:highlight w:val="white"/>
          <w:lang w:val="uk-UA"/>
        </w:rPr>
        <w:t xml:space="preserve">орядку </w:t>
      </w:r>
      <w:proofErr w:type="spellStart"/>
      <w:r w:rsidR="00756727" w:rsidRPr="00CB77F8">
        <w:rPr>
          <w:rStyle w:val="rvts9"/>
          <w:rFonts w:ascii="Times New Roman" w:eastAsia="Times New Roman" w:hAnsi="Times New Roman"/>
          <w:bCs/>
          <w:sz w:val="28"/>
          <w:szCs w:val="28"/>
          <w:highlight w:val="white"/>
          <w:lang w:val="uk-UA"/>
        </w:rPr>
        <w:t>недопуску</w:t>
      </w:r>
      <w:proofErr w:type="spellEnd"/>
      <w:r w:rsidR="00756727" w:rsidRPr="00CB77F8">
        <w:rPr>
          <w:rStyle w:val="rvts9"/>
          <w:rFonts w:ascii="Times New Roman" w:eastAsia="Times New Roman" w:hAnsi="Times New Roman"/>
          <w:bCs/>
          <w:sz w:val="28"/>
          <w:szCs w:val="28"/>
          <w:highlight w:val="white"/>
          <w:lang w:val="uk-UA"/>
        </w:rPr>
        <w:t xml:space="preserve"> до участі в азартних іграх осіб, яким обмежено доступ до участі в азартних іграх, та осіб, у яких виражена ігрова залежніст</w:t>
      </w:r>
      <w:r w:rsidR="00E93CA7" w:rsidRPr="00CB77F8">
        <w:rPr>
          <w:rStyle w:val="rvts9"/>
          <w:rFonts w:ascii="Times New Roman" w:eastAsia="Times New Roman" w:hAnsi="Times New Roman"/>
          <w:bCs/>
          <w:sz w:val="28"/>
          <w:szCs w:val="28"/>
          <w:highlight w:val="white"/>
          <w:lang w:val="uk-UA"/>
        </w:rPr>
        <w:t>ь</w:t>
      </w:r>
      <w:r w:rsidR="00756727" w:rsidRPr="00CB77F8">
        <w:rPr>
          <w:rStyle w:val="rvts9"/>
          <w:rFonts w:ascii="Times New Roman" w:eastAsia="Times New Roman" w:hAnsi="Times New Roman"/>
          <w:bCs/>
          <w:sz w:val="28"/>
          <w:szCs w:val="28"/>
          <w:highlight w:val="white"/>
          <w:lang w:val="uk-UA"/>
        </w:rPr>
        <w:t xml:space="preserve"> (</w:t>
      </w:r>
      <w:proofErr w:type="spellStart"/>
      <w:r w:rsidR="00756727" w:rsidRPr="00CB77F8">
        <w:rPr>
          <w:rStyle w:val="rvts9"/>
          <w:rFonts w:ascii="Times New Roman" w:eastAsia="Times New Roman" w:hAnsi="Times New Roman"/>
          <w:bCs/>
          <w:sz w:val="28"/>
          <w:szCs w:val="28"/>
          <w:highlight w:val="white"/>
          <w:lang w:val="uk-UA"/>
        </w:rPr>
        <w:t>лудомані</w:t>
      </w:r>
      <w:r w:rsidR="00E93CA7" w:rsidRPr="00CB77F8">
        <w:rPr>
          <w:rStyle w:val="rvts9"/>
          <w:rFonts w:ascii="Times New Roman" w:eastAsia="Times New Roman" w:hAnsi="Times New Roman"/>
          <w:bCs/>
          <w:sz w:val="28"/>
          <w:szCs w:val="28"/>
          <w:highlight w:val="white"/>
          <w:lang w:val="uk-UA"/>
        </w:rPr>
        <w:t>я</w:t>
      </w:r>
      <w:proofErr w:type="spellEnd"/>
      <w:r w:rsidR="00756727" w:rsidRPr="00CB77F8">
        <w:rPr>
          <w:rStyle w:val="rvts9"/>
          <w:rFonts w:ascii="Times New Roman" w:eastAsia="Times New Roman" w:hAnsi="Times New Roman"/>
          <w:bCs/>
          <w:sz w:val="28"/>
          <w:szCs w:val="28"/>
          <w:highlight w:val="white"/>
          <w:lang w:val="uk-UA"/>
        </w:rPr>
        <w:t>)</w:t>
      </w:r>
      <w:r w:rsidR="00DA3D0B" w:rsidRPr="00CB77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DA3D0B" w:rsidRPr="00553478" w:rsidRDefault="00DA3D0B" w:rsidP="005534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7F8" w:rsidRDefault="00DA3D0B" w:rsidP="00157745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3" w:name="_heading=h.hmqu6hyizdd11"/>
      <w:bookmarkStart w:id="4" w:name="_heading=h.hmqu6hyizdd12"/>
      <w:bookmarkStart w:id="5" w:name="_heading=h.hmqu6hyizdd121"/>
      <w:bookmarkStart w:id="6" w:name="_heading=h.hmqu6hyizdd111"/>
      <w:bookmarkEnd w:id="2"/>
      <w:bookmarkEnd w:id="3"/>
      <w:bookmarkEnd w:id="4"/>
      <w:bookmarkEnd w:id="5"/>
      <w:bookmarkEnd w:id="6"/>
      <w:r w:rsidRPr="005534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Обґрунтування необхідності прийняття акта</w:t>
      </w:r>
    </w:p>
    <w:p w:rsidR="00DA3D0B" w:rsidRPr="005C0755" w:rsidRDefault="00DA3D0B" w:rsidP="005C07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4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5534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</w:t>
      </w:r>
      <w:r w:rsidRPr="00553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розроблено на виконання </w:t>
      </w:r>
      <w:r w:rsidR="005C0755">
        <w:rPr>
          <w:rFonts w:ascii="Times New Roman" w:hAnsi="Times New Roman" w:cs="Times New Roman"/>
          <w:sz w:val="28"/>
          <w:szCs w:val="28"/>
          <w:lang w:val="uk-UA"/>
        </w:rPr>
        <w:t>пункту 3</w:t>
      </w:r>
      <w:r w:rsidR="00B96EFE" w:rsidRPr="00553478">
        <w:rPr>
          <w:rFonts w:ascii="Times New Roman" w:hAnsi="Times New Roman" w:cs="Times New Roman"/>
          <w:sz w:val="28"/>
          <w:szCs w:val="28"/>
          <w:lang w:val="uk-UA"/>
        </w:rPr>
        <w:t xml:space="preserve"> Плану діяльності Комісії з регулювання азартних ігор та лотерей з підготовки проєктів регуляторних актів на 2022 рік, затвердженого рішенням КРАІЛ </w:t>
      </w:r>
      <w:r w:rsidR="00443917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6EFE" w:rsidRPr="00553478">
        <w:rPr>
          <w:rFonts w:ascii="Times New Roman" w:hAnsi="Times New Roman" w:cs="Times New Roman"/>
          <w:sz w:val="28"/>
          <w:szCs w:val="28"/>
          <w:lang w:val="uk-UA"/>
        </w:rPr>
        <w:t xml:space="preserve">від 10 грудня 2021 </w:t>
      </w:r>
      <w:r w:rsidR="00157CE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96EFE" w:rsidRPr="00553478">
        <w:rPr>
          <w:rFonts w:ascii="Times New Roman" w:hAnsi="Times New Roman" w:cs="Times New Roman"/>
          <w:sz w:val="28"/>
          <w:szCs w:val="28"/>
          <w:lang w:val="uk-UA"/>
        </w:rPr>
        <w:t>№ 838</w:t>
      </w:r>
      <w:r w:rsidR="005C0755" w:rsidRPr="005C0755">
        <w:rPr>
          <w:lang w:val="uk-UA"/>
        </w:rPr>
        <w:t xml:space="preserve"> </w:t>
      </w:r>
      <w:r w:rsidR="005C0755" w:rsidRPr="005C0755">
        <w:rPr>
          <w:rFonts w:ascii="Times New Roman" w:hAnsi="Times New Roman" w:cs="Times New Roman"/>
          <w:sz w:val="28"/>
          <w:szCs w:val="28"/>
          <w:lang w:val="uk-UA"/>
        </w:rPr>
        <w:t>(у редакції рішен</w:t>
      </w:r>
      <w:r w:rsidR="005C0755">
        <w:rPr>
          <w:rFonts w:ascii="Times New Roman" w:hAnsi="Times New Roman" w:cs="Times New Roman"/>
          <w:sz w:val="28"/>
          <w:szCs w:val="28"/>
          <w:lang w:val="uk-UA"/>
        </w:rPr>
        <w:t xml:space="preserve">ня КРАІЛ </w:t>
      </w:r>
      <w:r w:rsidR="00443917">
        <w:rPr>
          <w:rFonts w:ascii="Times New Roman" w:hAnsi="Times New Roman" w:cs="Times New Roman"/>
          <w:sz w:val="28"/>
          <w:szCs w:val="28"/>
          <w:lang w:val="uk-UA"/>
        </w:rPr>
        <w:br/>
      </w:r>
      <w:r w:rsidR="005C0755">
        <w:rPr>
          <w:rFonts w:ascii="Times New Roman" w:hAnsi="Times New Roman" w:cs="Times New Roman"/>
          <w:sz w:val="28"/>
          <w:szCs w:val="28"/>
          <w:lang w:val="uk-UA"/>
        </w:rPr>
        <w:t xml:space="preserve">від 27 червня </w:t>
      </w:r>
      <w:r w:rsidR="005C0755" w:rsidRPr="005C0755"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="005C0755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5C0755" w:rsidRPr="005C075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866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755" w:rsidRPr="005C0755">
        <w:rPr>
          <w:rFonts w:ascii="Times New Roman" w:hAnsi="Times New Roman" w:cs="Times New Roman"/>
          <w:sz w:val="28"/>
          <w:szCs w:val="28"/>
          <w:lang w:val="uk-UA"/>
        </w:rPr>
        <w:t>172)</w:t>
      </w:r>
      <w:r w:rsidR="00B96EFE" w:rsidRPr="00553478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r w:rsidRPr="00553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пункт</w:t>
      </w:r>
      <w:r w:rsidR="00806CCE" w:rsidRPr="00553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у</w:t>
      </w:r>
      <w:r w:rsidRPr="00553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2 частини </w:t>
      </w:r>
      <w:r w:rsidRPr="00553478">
        <w:rPr>
          <w:rStyle w:val="rvts9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val="uk-UA" w:eastAsia="uk-UA"/>
        </w:rPr>
        <w:t xml:space="preserve">другої статті 16 </w:t>
      </w:r>
      <w:r w:rsidR="00806CCE" w:rsidRPr="00553478">
        <w:rPr>
          <w:rStyle w:val="rvts9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val="uk-UA"/>
        </w:rPr>
        <w:t xml:space="preserve">Закону України «Про державне регулювання діяльності щодо організації та проведення азартних ігор» </w:t>
      </w:r>
      <w:r w:rsidR="00806CCE" w:rsidRPr="00553478">
        <w:rPr>
          <w:rStyle w:val="rvts9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(далі – </w:t>
      </w:r>
      <w:r w:rsidR="00806CCE" w:rsidRPr="00553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Закон)</w:t>
      </w:r>
      <w:r w:rsidRPr="00553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Pr="0055347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uk-UA"/>
        </w:rPr>
        <w:t xml:space="preserve">абзацу </w:t>
      </w:r>
      <w:r w:rsidR="00B96EFE" w:rsidRPr="0055347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highlight w:val="white"/>
          <w:shd w:val="clear" w:color="auto" w:fill="FFFFFF"/>
          <w:lang w:val="uk-UA"/>
        </w:rPr>
        <w:t xml:space="preserve">третього </w:t>
      </w:r>
      <w:r w:rsidRPr="0055347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uk-UA"/>
        </w:rPr>
        <w:t xml:space="preserve">підпункту 1 пункту </w:t>
      </w:r>
      <w:r w:rsidRPr="00553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4 Положення про Комісію з регулювання азартних ігор та лотерей, затвердженого постановою Кабінету Міністрів України від 23</w:t>
      </w:r>
      <w:r w:rsidR="00D0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вересня </w:t>
      </w:r>
      <w:r w:rsidRPr="00553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2020 </w:t>
      </w:r>
      <w:r w:rsidR="00D0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року </w:t>
      </w:r>
      <w:r w:rsidRPr="00553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№ 891</w:t>
      </w:r>
      <w:r w:rsidRPr="0055347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uk-UA" w:eastAsia="uk-UA"/>
        </w:rPr>
        <w:t>.</w:t>
      </w:r>
    </w:p>
    <w:p w:rsidR="003D69ED" w:rsidRPr="00553478" w:rsidRDefault="003D69ED" w:rsidP="005534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478">
        <w:rPr>
          <w:rFonts w:ascii="Times New Roman" w:hAnsi="Times New Roman" w:cs="Times New Roman"/>
          <w:sz w:val="28"/>
          <w:szCs w:val="28"/>
          <w:lang w:val="uk-UA"/>
        </w:rPr>
        <w:t>Слід зазначити, що після тривалої заборони грального бізнесу в Україні, Законом встановлено правові засади здійснення державного регулювання господарської діяльності у сфері організації та проведення азартних ігор в Україні.</w:t>
      </w:r>
    </w:p>
    <w:p w:rsidR="008366B4" w:rsidRPr="00382C84" w:rsidRDefault="008366B4" w:rsidP="0055347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8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Підпунктом 2 пункту 2</w:t>
      </w:r>
      <w:r w:rsidRPr="00382C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366B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Принци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пів</w:t>
      </w:r>
      <w:r w:rsidRPr="008366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відповідальної гри, затверджени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Pr="008366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рішенням КРАІЛ </w:t>
      </w:r>
      <w:r w:rsidRPr="00382C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11 серпня 2021 року № 483, зареєстрованих у Міністерстві юстиції України 31 серпня 2021 року за № 1141/36763, передбачено, що під </w:t>
      </w:r>
      <w:r w:rsidRPr="0038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принципом відповідальної гри обмеження гравця в участі в азартних іграх розуміється зобов’язання організатора азартних ігор не допускати до участі в азартних іграх осіб, яким обмежено доступ до участі в азартних іграх, та осіб, у яких виражена ігрова залежність (</w:t>
      </w:r>
      <w:proofErr w:type="spellStart"/>
      <w:r w:rsidRPr="0038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лудоманія</w:t>
      </w:r>
      <w:proofErr w:type="spellEnd"/>
      <w:r w:rsidRPr="0038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5C0755" w:rsidRDefault="008366B4" w:rsidP="005C075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82C84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382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гідно з пунктом 2 частини </w:t>
      </w:r>
      <w:r w:rsidRPr="00382C84">
        <w:rPr>
          <w:rStyle w:val="rvts9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val="uk-UA" w:eastAsia="uk-UA"/>
        </w:rPr>
        <w:t xml:space="preserve">другої статті 16 </w:t>
      </w:r>
      <w:r w:rsidRPr="00382C84">
        <w:rPr>
          <w:rStyle w:val="rvts9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val="uk-UA"/>
        </w:rPr>
        <w:t>Закону</w:t>
      </w:r>
      <w:r w:rsidRPr="0038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метою мінімізації негативного впливу азартних ігор організатори азартних ігор зобов’язані дотримуватися принципів відповідальної гри, зокрема, у випадках та порядку, встановлених Уповноваженим органом, яким </w:t>
      </w:r>
      <w:r w:rsidR="00E324CE" w:rsidRPr="0038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частини четвертої статті 6 Закону </w:t>
      </w:r>
      <w:r w:rsidRPr="0038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є КРАІЛ, не допускати до участі в азартних іграх осіб, яким обмежено доступ до участі в азартних іграх, та осіб, у яких виражена ігрова </w:t>
      </w:r>
      <w:r w:rsidRPr="0038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залежність (</w:t>
      </w:r>
      <w:proofErr w:type="spellStart"/>
      <w:r w:rsidRPr="0038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лудоманія</w:t>
      </w:r>
      <w:proofErr w:type="spellEnd"/>
      <w:r w:rsidRPr="0038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443917" w:rsidRPr="00382C84" w:rsidRDefault="00443917" w:rsidP="005C075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43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Враховуючи викладене вище, виникла необхідність у розробленні проєкту рішення.</w:t>
      </w:r>
    </w:p>
    <w:bookmarkEnd w:id="0"/>
    <w:p w:rsidR="00D00314" w:rsidRPr="00382C84" w:rsidRDefault="00D00314" w:rsidP="005534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CB77F8" w:rsidRDefault="00DA3D0B" w:rsidP="00157745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34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</w:t>
      </w:r>
      <w:bookmarkStart w:id="7" w:name="_heading=h.xkqmbsmrv6wu"/>
      <w:r w:rsidRPr="005534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Основні положення проєкту акта</w:t>
      </w:r>
    </w:p>
    <w:p w:rsidR="00680D8F" w:rsidRPr="00553478" w:rsidRDefault="00DA3D0B" w:rsidP="005534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8" w:name="_heading=h.xkqmbsmrv6wu1"/>
      <w:bookmarkStart w:id="9" w:name="_heading=h.exbr0x4w7tt11"/>
      <w:bookmarkStart w:id="10" w:name="_heading=h.exbr0x4w7tt1"/>
      <w:bookmarkEnd w:id="7"/>
      <w:bookmarkEnd w:id="8"/>
      <w:bookmarkEnd w:id="9"/>
      <w:bookmarkEnd w:id="10"/>
      <w:proofErr w:type="spellStart"/>
      <w:r w:rsidRPr="0055347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Проєктом</w:t>
      </w:r>
      <w:proofErr w:type="spellEnd"/>
      <w:r w:rsidRPr="0055347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рішення визначено</w:t>
      </w:r>
      <w:r w:rsidR="00680D8F" w:rsidRPr="0055347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:</w:t>
      </w:r>
    </w:p>
    <w:p w:rsidR="00680D8F" w:rsidRPr="00553478" w:rsidRDefault="004E3FB7" w:rsidP="005534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63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механізм реалізації принципу відповідальної </w:t>
      </w:r>
      <w:r w:rsidRPr="00EE26F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гри (</w:t>
      </w:r>
      <w:r w:rsidRPr="004E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обмеження гравця в участі в азартних іграх</w:t>
      </w:r>
      <w:r w:rsidRPr="00EE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) шляхом визначення </w:t>
      </w:r>
      <w:r w:rsidRPr="004E3FB7">
        <w:rPr>
          <w:rFonts w:ascii="Times New Roman" w:hAnsi="Times New Roman" w:cs="Times New Roman"/>
          <w:sz w:val="28"/>
          <w:szCs w:val="28"/>
          <w:lang w:val="uk-UA" w:eastAsia="ru-RU"/>
        </w:rPr>
        <w:t>випадк</w:t>
      </w:r>
      <w:r w:rsidRPr="001B63F5">
        <w:rPr>
          <w:rFonts w:ascii="Times New Roman" w:hAnsi="Times New Roman" w:cs="Times New Roman"/>
          <w:sz w:val="28"/>
          <w:szCs w:val="28"/>
          <w:lang w:val="uk-UA" w:eastAsia="ru-RU"/>
        </w:rPr>
        <w:t>ів</w:t>
      </w:r>
      <w:r w:rsidR="00157745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4E3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способів</w:t>
      </w:r>
      <w:r w:rsidRPr="004E3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577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підстав </w:t>
      </w:r>
      <w:proofErr w:type="spellStart"/>
      <w:r w:rsidRPr="004E3FB7">
        <w:rPr>
          <w:rFonts w:ascii="Times New Roman" w:hAnsi="Times New Roman" w:cs="Times New Roman"/>
          <w:sz w:val="28"/>
          <w:szCs w:val="28"/>
          <w:lang w:val="uk-UA" w:eastAsia="ru-RU"/>
        </w:rPr>
        <w:t>недопуску</w:t>
      </w:r>
      <w:proofErr w:type="spellEnd"/>
      <w:r w:rsidRPr="004E3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участі в азартних іграх осіб, яким обмежено доступ до участі в азартних іграх, та осіб, у яких виражена ігрова залежність (</w:t>
      </w:r>
      <w:proofErr w:type="spellStart"/>
      <w:r w:rsidRPr="004E3FB7">
        <w:rPr>
          <w:rFonts w:ascii="Times New Roman" w:hAnsi="Times New Roman" w:cs="Times New Roman"/>
          <w:sz w:val="28"/>
          <w:szCs w:val="28"/>
          <w:lang w:val="uk-UA" w:eastAsia="ru-RU"/>
        </w:rPr>
        <w:t>лудоманія</w:t>
      </w:r>
      <w:proofErr w:type="spellEnd"/>
      <w:r w:rsidRPr="004E3FB7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680D8F" w:rsidRPr="00553478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157745" w:rsidRPr="00553478" w:rsidRDefault="00680D8F" w:rsidP="001577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47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можливість встановлення правилами організатора азартної гри, правилами проведення азартної гри та правилами відвідування грального закладу, з ур</w:t>
      </w:r>
      <w:r w:rsidR="00157745">
        <w:rPr>
          <w:rFonts w:ascii="Times New Roman" w:hAnsi="Times New Roman" w:cs="Times New Roman"/>
          <w:color w:val="000000"/>
          <w:sz w:val="28"/>
          <w:szCs w:val="28"/>
          <w:lang w:val="uk-UA"/>
        </w:rPr>
        <w:t>ахуванням вимог законодавства,</w:t>
      </w:r>
      <w:r w:rsidR="00157745">
        <w:rPr>
          <w:rFonts w:ascii="Times New Roman" w:hAnsi="Times New Roman" w:cs="Times New Roman"/>
          <w:sz w:val="28"/>
          <w:szCs w:val="28"/>
          <w:lang w:val="uk-UA"/>
        </w:rPr>
        <w:t xml:space="preserve"> підстав</w:t>
      </w:r>
      <w:r w:rsidR="00157745" w:rsidRPr="001577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745" w:rsidRPr="00157745">
        <w:rPr>
          <w:rFonts w:ascii="Times New Roman" w:hAnsi="Times New Roman" w:cs="Times New Roman"/>
          <w:sz w:val="28"/>
          <w:szCs w:val="28"/>
          <w:lang w:val="uk-UA"/>
        </w:rPr>
        <w:t>недопуску</w:t>
      </w:r>
      <w:proofErr w:type="spellEnd"/>
      <w:r w:rsidR="00157745" w:rsidRPr="00157745">
        <w:rPr>
          <w:rFonts w:ascii="Times New Roman" w:hAnsi="Times New Roman" w:cs="Times New Roman"/>
          <w:sz w:val="28"/>
          <w:szCs w:val="28"/>
          <w:lang w:val="uk-UA"/>
        </w:rPr>
        <w:t xml:space="preserve"> до участі в азартних іграх осіб, яким обмежено доступ до участі в азартних іграх, та осіб, у яких виражена ігрова залежність (</w:t>
      </w:r>
      <w:proofErr w:type="spellStart"/>
      <w:r w:rsidR="00157745" w:rsidRPr="00157745">
        <w:rPr>
          <w:rFonts w:ascii="Times New Roman" w:hAnsi="Times New Roman" w:cs="Times New Roman"/>
          <w:sz w:val="28"/>
          <w:szCs w:val="28"/>
          <w:lang w:val="uk-UA"/>
        </w:rPr>
        <w:t>лудоманія</w:t>
      </w:r>
      <w:proofErr w:type="spellEnd"/>
      <w:r w:rsidR="00157745" w:rsidRPr="0015774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A3D0B" w:rsidRPr="00553478" w:rsidRDefault="00DA3D0B" w:rsidP="00553478">
      <w:pPr>
        <w:pStyle w:val="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8" w:rsidRDefault="00DA3D0B" w:rsidP="00157745">
      <w:pPr>
        <w:pStyle w:val="HTML1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3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4. Правові аспекти</w:t>
      </w:r>
    </w:p>
    <w:p w:rsidR="00DA3D0B" w:rsidRPr="00553478" w:rsidRDefault="00DA3D0B" w:rsidP="005534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47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>Проєкт</w:t>
      </w:r>
      <w:proofErr w:type="spellEnd"/>
      <w:r w:rsidRPr="0055347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рішення розроблений на підставі:</w:t>
      </w:r>
    </w:p>
    <w:p w:rsidR="00DA3D0B" w:rsidRPr="00553478" w:rsidRDefault="00DA3D0B" w:rsidP="00553478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78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uk-UA"/>
        </w:rPr>
        <w:t xml:space="preserve">Закону України </w:t>
      </w:r>
      <w:r w:rsidRPr="00553478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  <w:lang w:eastAsia="uk-UA"/>
        </w:rPr>
        <w:t>«</w:t>
      </w:r>
      <w:r w:rsidRPr="00553478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uk-UA"/>
        </w:rPr>
        <w:t>Про державне регулювання діяльності щодо організації та проведення азартних ігор</w:t>
      </w:r>
      <w:r w:rsidRPr="00553478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  <w:lang w:eastAsia="uk-UA"/>
        </w:rPr>
        <w:t>»;</w:t>
      </w:r>
    </w:p>
    <w:p w:rsidR="00DA3D0B" w:rsidRDefault="00DA3D0B" w:rsidP="00553478">
      <w:pPr>
        <w:ind w:firstLine="709"/>
        <w:jc w:val="both"/>
        <w:rPr>
          <w:rStyle w:val="rvts9"/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53478">
        <w:rPr>
          <w:rStyle w:val="rvts9"/>
          <w:rFonts w:ascii="Times New Roman" w:eastAsia="Times New Roman" w:hAnsi="Times New Roman"/>
          <w:color w:val="000000"/>
          <w:sz w:val="28"/>
          <w:szCs w:val="28"/>
          <w:highlight w:val="white"/>
          <w:lang w:val="uk-UA" w:eastAsia="uk-UA"/>
        </w:rPr>
        <w:t xml:space="preserve">Положення про Комісію з регулювання азартних ігор та лотерей, затвердженого постановою Кабінету Міністрів України </w:t>
      </w:r>
      <w:r w:rsidR="005C0755">
        <w:rPr>
          <w:rStyle w:val="rvts9"/>
          <w:rFonts w:ascii="Times New Roman" w:eastAsia="Times New Roman" w:hAnsi="Times New Roman"/>
          <w:color w:val="000000"/>
          <w:sz w:val="28"/>
          <w:szCs w:val="28"/>
          <w:highlight w:val="white"/>
          <w:lang w:val="uk-UA" w:eastAsia="uk-UA"/>
        </w:rPr>
        <w:br/>
      </w:r>
      <w:r w:rsidRPr="00553478">
        <w:rPr>
          <w:rStyle w:val="rvts9"/>
          <w:rFonts w:ascii="Times New Roman" w:eastAsia="Times New Roman" w:hAnsi="Times New Roman"/>
          <w:color w:val="000000"/>
          <w:sz w:val="28"/>
          <w:szCs w:val="28"/>
          <w:highlight w:val="white"/>
          <w:lang w:val="uk-UA" w:eastAsia="uk-UA"/>
        </w:rPr>
        <w:t>від 23</w:t>
      </w:r>
      <w:r w:rsidR="00D00314">
        <w:rPr>
          <w:rStyle w:val="rvts9"/>
          <w:rFonts w:ascii="Times New Roman" w:eastAsia="Times New Roman" w:hAnsi="Times New Roman"/>
          <w:color w:val="000000"/>
          <w:sz w:val="28"/>
          <w:szCs w:val="28"/>
          <w:highlight w:val="white"/>
          <w:lang w:val="uk-UA" w:eastAsia="uk-UA"/>
        </w:rPr>
        <w:t xml:space="preserve"> вересня </w:t>
      </w:r>
      <w:r w:rsidRPr="00553478">
        <w:rPr>
          <w:rStyle w:val="rvts9"/>
          <w:rFonts w:ascii="Times New Roman" w:eastAsia="Times New Roman" w:hAnsi="Times New Roman"/>
          <w:color w:val="000000"/>
          <w:sz w:val="28"/>
          <w:szCs w:val="28"/>
          <w:highlight w:val="white"/>
          <w:lang w:val="uk-UA" w:eastAsia="uk-UA"/>
        </w:rPr>
        <w:t xml:space="preserve">2020 </w:t>
      </w:r>
      <w:r w:rsidR="00D00314">
        <w:rPr>
          <w:rStyle w:val="rvts9"/>
          <w:rFonts w:ascii="Times New Roman" w:eastAsia="Times New Roman" w:hAnsi="Times New Roman"/>
          <w:color w:val="000000"/>
          <w:sz w:val="28"/>
          <w:szCs w:val="28"/>
          <w:highlight w:val="white"/>
          <w:lang w:val="uk-UA" w:eastAsia="uk-UA"/>
        </w:rPr>
        <w:t xml:space="preserve">року </w:t>
      </w:r>
      <w:r w:rsidRPr="00553478">
        <w:rPr>
          <w:rStyle w:val="rvts9"/>
          <w:rFonts w:ascii="Times New Roman" w:eastAsia="Times New Roman" w:hAnsi="Times New Roman"/>
          <w:color w:val="000000"/>
          <w:sz w:val="28"/>
          <w:szCs w:val="28"/>
          <w:highlight w:val="white"/>
          <w:lang w:val="uk-UA" w:eastAsia="uk-UA"/>
        </w:rPr>
        <w:t>№ 891</w:t>
      </w:r>
      <w:r w:rsidR="007F690B">
        <w:rPr>
          <w:rStyle w:val="rvts9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8C527A" w:rsidRPr="00382C84" w:rsidRDefault="007F690B" w:rsidP="0055347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2C8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Регулювання правовідносин у зазначеній сфері здійснюється також</w:t>
      </w:r>
      <w:r w:rsidR="008C527A" w:rsidRPr="00382C84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7F690B" w:rsidRPr="00382C84" w:rsidRDefault="007F690B" w:rsidP="0055347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2C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Принципами відповідальної гри, затвердженими рішенням КРАІЛ </w:t>
      </w:r>
      <w:r w:rsidR="00AF7EAE" w:rsidRPr="00AF7EA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382C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11 серпня 2021 року № 483, зареєстрованими у Міністерстві юстиції </w:t>
      </w:r>
      <w:r w:rsidR="00AF7EAE" w:rsidRPr="00AF7EA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382C84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 31 серпня 2021 року за № 1141/36763</w:t>
      </w:r>
      <w:r w:rsidR="008C527A" w:rsidRPr="00382C8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45BE9" w:rsidRPr="00382C84" w:rsidRDefault="00045BE9" w:rsidP="0055347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Порядком формування і ведення Реєстру осіб, яким обмежено доступ до гральних закладів та/або участь в азартних іграх, затвердженим рішенням КРАІЛ від 22 квітня 2021 року № 167, зареєстрованим у Міністерстві юстиції України 03 червня 2021 року за № 747/36369.</w:t>
      </w:r>
    </w:p>
    <w:p w:rsidR="008C527A" w:rsidRPr="00045BE9" w:rsidRDefault="008C527A" w:rsidP="00553478">
      <w:pPr>
        <w:ind w:firstLine="709"/>
        <w:jc w:val="both"/>
        <w:rPr>
          <w:rStyle w:val="rvts9"/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CB77F8" w:rsidRDefault="00DA3D0B" w:rsidP="00157745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5347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5. </w:t>
      </w:r>
      <w:bookmarkStart w:id="11" w:name="_heading=h.tf2gk3lsnlrh"/>
      <w:bookmarkEnd w:id="11"/>
      <w:r w:rsidRPr="0055347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>Фінансово-економічне обґрунтування</w:t>
      </w:r>
    </w:p>
    <w:p w:rsidR="003F5B1A" w:rsidRDefault="00DA3D0B" w:rsidP="005534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bookmarkStart w:id="12" w:name="_heading=h.cpjgzbnkmxqu"/>
      <w:bookmarkStart w:id="13" w:name="_heading=h.ia2mvnjzb5t0"/>
      <w:bookmarkStart w:id="14" w:name="_heading=h.64yealvp40fj"/>
      <w:bookmarkStart w:id="15" w:name="_heading=h.cxxfmyfcn203"/>
      <w:bookmarkStart w:id="16" w:name="_heading=h.hmqu6hyizdd1"/>
      <w:bookmarkEnd w:id="12"/>
      <w:bookmarkEnd w:id="13"/>
      <w:bookmarkEnd w:id="14"/>
      <w:bookmarkEnd w:id="15"/>
      <w:bookmarkEnd w:id="16"/>
      <w:r w:rsidRPr="0055347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Реалізація проєкту </w:t>
      </w:r>
      <w:r w:rsidRPr="0055347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>рішення</w:t>
      </w:r>
      <w:r w:rsidRPr="0055347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не </w:t>
      </w:r>
      <w:r w:rsidR="003F5B1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матиме впливу на надходження та витрати державного та/або місцевих бюджетів.</w:t>
      </w:r>
    </w:p>
    <w:p w:rsidR="00DA3D0B" w:rsidRPr="00553478" w:rsidRDefault="003F5B1A" w:rsidP="005534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Реалізація проєкту рішення не </w:t>
      </w:r>
      <w:r w:rsidR="00DA3D0B" w:rsidRPr="0055347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потребує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фінансування з державного чи місцевих бюджетів.</w:t>
      </w:r>
    </w:p>
    <w:p w:rsidR="00CB77F8" w:rsidRPr="00553478" w:rsidRDefault="00CB77F8" w:rsidP="0015774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77F8" w:rsidRDefault="00DA3D0B" w:rsidP="00157745">
      <w:pPr>
        <w:tabs>
          <w:tab w:val="left" w:pos="0"/>
          <w:tab w:val="center" w:pos="4819"/>
          <w:tab w:val="right" w:pos="9639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534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6. Позиція заінтересованих сторін</w:t>
      </w:r>
    </w:p>
    <w:p w:rsidR="00D328FB" w:rsidRDefault="00D328FB" w:rsidP="00D328FB">
      <w:pPr>
        <w:pStyle w:val="rvps2"/>
        <w:shd w:val="clear" w:color="auto" w:fill="FFFFFF"/>
        <w:tabs>
          <w:tab w:val="left" w:pos="0"/>
          <w:tab w:val="center" w:pos="4819"/>
          <w:tab w:val="right" w:pos="9639"/>
        </w:tabs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Міністерством</w:t>
      </w:r>
      <w:r w:rsidR="005C0755" w:rsidRPr="00553478">
        <w:rPr>
          <w:rFonts w:ascii="Times New Roman" w:eastAsia="Times New Roman" w:hAnsi="Times New Roman" w:cs="Times New Roman"/>
          <w:sz w:val="28"/>
          <w:szCs w:val="28"/>
        </w:rPr>
        <w:t xml:space="preserve"> соціальної політики України</w:t>
      </w:r>
      <w:r w:rsidR="005C0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листом від 30.05.</w:t>
      </w:r>
      <w:r w:rsidRPr="00D328FB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328FB">
        <w:rPr>
          <w:rFonts w:ascii="Times New Roman" w:eastAsia="Times New Roman" w:hAnsi="Times New Roman" w:cs="Times New Roman"/>
          <w:sz w:val="28"/>
          <w:szCs w:val="28"/>
        </w:rPr>
        <w:t>№ 5166</w:t>
      </w:r>
      <w:r>
        <w:rPr>
          <w:rFonts w:ascii="Times New Roman" w:eastAsia="Times New Roman" w:hAnsi="Times New Roman" w:cs="Times New Roman"/>
          <w:sz w:val="28"/>
          <w:szCs w:val="28"/>
        </w:rPr>
        <w:t>/0/2-22/57 (вх.</w:t>
      </w:r>
      <w:r w:rsidR="0028079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727/5 від 27.05.</w:t>
      </w:r>
      <w:r w:rsidRPr="00D328FB">
        <w:rPr>
          <w:rFonts w:ascii="Times New Roman" w:eastAsia="Times New Roman" w:hAnsi="Times New Roman" w:cs="Times New Roman"/>
          <w:sz w:val="28"/>
          <w:szCs w:val="28"/>
        </w:rPr>
        <w:t>2022)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погоджено проєкт рішення без зауважень.</w:t>
      </w:r>
    </w:p>
    <w:p w:rsidR="005C0755" w:rsidRDefault="00D328FB" w:rsidP="00D328FB">
      <w:pPr>
        <w:pStyle w:val="rvps2"/>
        <w:shd w:val="clear" w:color="auto" w:fill="FFFFFF"/>
        <w:tabs>
          <w:tab w:val="left" w:pos="0"/>
          <w:tab w:val="center" w:pos="4819"/>
          <w:tab w:val="right" w:pos="9639"/>
        </w:tabs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Уповноважений</w:t>
      </w:r>
      <w:r w:rsidR="005C0755" w:rsidRPr="00047904">
        <w:rPr>
          <w:rFonts w:ascii="Times New Roman" w:hAnsi="Times New Roman" w:cs="Times New Roman"/>
          <w:sz w:val="28"/>
          <w:szCs w:val="28"/>
        </w:rPr>
        <w:t xml:space="preserve"> Верховної Ради України з прав людини</w:t>
      </w:r>
      <w:r w:rsidR="005C0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листом </w:t>
      </w:r>
      <w:r w:rsidRPr="00D328F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</w:rPr>
        <w:t>26.05.</w:t>
      </w:r>
      <w:r w:rsidRPr="00D328FB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8FB">
        <w:rPr>
          <w:rFonts w:ascii="Times New Roman" w:eastAsia="Times New Roman" w:hAnsi="Times New Roman" w:cs="Times New Roman"/>
          <w:sz w:val="28"/>
          <w:szCs w:val="28"/>
        </w:rPr>
        <w:t>№ 7679.2/3779/1/22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/22/25.4 (вх. </w:t>
      </w:r>
      <w:r w:rsidR="0028079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707/2-4 від 27.05.</w:t>
      </w:r>
      <w:r w:rsidRPr="00D328FB">
        <w:rPr>
          <w:rFonts w:ascii="Times New Roman" w:eastAsia="Times New Roman" w:hAnsi="Times New Roman" w:cs="Times New Roman"/>
          <w:sz w:val="28"/>
          <w:szCs w:val="28"/>
        </w:rPr>
        <w:t>2022)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погоджено проєкт рішення без зауважень.</w:t>
      </w:r>
    </w:p>
    <w:p w:rsidR="00DA3D0B" w:rsidRPr="00D328FB" w:rsidRDefault="00D328FB" w:rsidP="00D328FB">
      <w:pPr>
        <w:pStyle w:val="rvps2"/>
        <w:shd w:val="clear" w:color="auto" w:fill="FFFFFF"/>
        <w:tabs>
          <w:tab w:val="left" w:pos="0"/>
          <w:tab w:val="center" w:pos="4819"/>
          <w:tab w:val="right" w:pos="9639"/>
        </w:tabs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478">
        <w:rPr>
          <w:rFonts w:ascii="Times New Roman" w:eastAsia="Times New Roman" w:hAnsi="Times New Roman" w:cs="Times New Roman"/>
          <w:sz w:val="28"/>
          <w:szCs w:val="28"/>
        </w:rPr>
        <w:t>Міністер</w:t>
      </w:r>
      <w:r>
        <w:rPr>
          <w:rFonts w:ascii="Times New Roman" w:eastAsia="Times New Roman" w:hAnsi="Times New Roman" w:cs="Times New Roman"/>
          <w:sz w:val="28"/>
          <w:szCs w:val="28"/>
        </w:rPr>
        <w:t>ством охорони здоров’я України л</w:t>
      </w:r>
      <w:r w:rsidRPr="00D328FB">
        <w:rPr>
          <w:rFonts w:ascii="Times New Roman" w:eastAsia="Times New Roman" w:hAnsi="Times New Roman" w:cs="Times New Roman"/>
          <w:sz w:val="28"/>
          <w:szCs w:val="28"/>
        </w:rPr>
        <w:t xml:space="preserve">истом від 09.06.2022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328FB">
        <w:rPr>
          <w:rFonts w:ascii="Times New Roman" w:eastAsia="Times New Roman" w:hAnsi="Times New Roman" w:cs="Times New Roman"/>
          <w:sz w:val="28"/>
          <w:szCs w:val="28"/>
        </w:rPr>
        <w:t>№ 25/12982/2-22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(вх. </w:t>
      </w:r>
      <w:r w:rsidR="0028079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799/5 від 10.06.2022) </w:t>
      </w:r>
      <w:r w:rsidR="005C0755">
        <w:rPr>
          <w:rFonts w:ascii="Times New Roman" w:eastAsia="Times New Roman" w:hAnsi="Times New Roman" w:cs="Times New Roman"/>
          <w:sz w:val="28"/>
          <w:szCs w:val="28"/>
        </w:rPr>
        <w:t>висловлено зауваження до проєкту рішення, які враховано.</w:t>
      </w:r>
    </w:p>
    <w:p w:rsidR="00D328FB" w:rsidRDefault="00D328FB" w:rsidP="00553478">
      <w:pPr>
        <w:pStyle w:val="rvps2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Державною регуляторною службою України л</w:t>
      </w:r>
      <w:r w:rsidRPr="00D328FB">
        <w:rPr>
          <w:rFonts w:ascii="Times New Roman" w:eastAsia="Times New Roman" w:hAnsi="Times New Roman" w:cs="Times New Roman"/>
          <w:sz w:val="28"/>
          <w:szCs w:val="28"/>
        </w:rPr>
        <w:t xml:space="preserve">истом від 31.05.2022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328FB">
        <w:rPr>
          <w:rFonts w:ascii="Times New Roman" w:eastAsia="Times New Roman" w:hAnsi="Times New Roman" w:cs="Times New Roman"/>
          <w:sz w:val="28"/>
          <w:szCs w:val="28"/>
        </w:rPr>
        <w:t xml:space="preserve">№ 1868/0/20-22  (вх. </w:t>
      </w:r>
      <w:r w:rsidR="0028079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328FB">
        <w:rPr>
          <w:rFonts w:ascii="Times New Roman" w:eastAsia="Times New Roman" w:hAnsi="Times New Roman" w:cs="Times New Roman"/>
          <w:sz w:val="28"/>
          <w:szCs w:val="28"/>
        </w:rPr>
        <w:t>732/5 від 31.05.2022) повідомлено, що проєкт рішення містить норми регуляторного характеру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28FB" w:rsidRDefault="00D328FB" w:rsidP="00D328FB">
      <w:pPr>
        <w:pStyle w:val="rvps2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потребує повторного погодження із заінтересованими органами у зв’язку з його доопрацюванням в частині узгодження позицій КРАІЛ та МОЗ, а також врахування</w:t>
      </w:r>
      <w:r w:rsidR="0028079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пропозицій та зауважень наданих представниками громадськості.</w:t>
      </w:r>
    </w:p>
    <w:p w:rsidR="00D328FB" w:rsidRDefault="00D328FB" w:rsidP="00D328FB">
      <w:pPr>
        <w:pStyle w:val="rvps2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3478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553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47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рішення</w:t>
      </w:r>
      <w:r w:rsidRPr="00553478">
        <w:rPr>
          <w:rFonts w:ascii="Times New Roman" w:eastAsia="Times New Roman" w:hAnsi="Times New Roman" w:cs="Times New Roman"/>
          <w:sz w:val="28"/>
          <w:szCs w:val="28"/>
        </w:rPr>
        <w:t xml:space="preserve"> потребує державної реєстрації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Міністерстві юстиції України.</w:t>
      </w:r>
    </w:p>
    <w:p w:rsidR="00DA3D0B" w:rsidRPr="00553478" w:rsidRDefault="00DA3D0B" w:rsidP="00553478">
      <w:pPr>
        <w:pStyle w:val="rvps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478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553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47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рішення</w:t>
      </w:r>
      <w:r w:rsidRPr="00553478">
        <w:rPr>
          <w:rFonts w:ascii="Times New Roman" w:eastAsia="Times New Roman" w:hAnsi="Times New Roman" w:cs="Times New Roman"/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 </w:t>
      </w:r>
    </w:p>
    <w:p w:rsidR="00DA3D0B" w:rsidRPr="00553478" w:rsidRDefault="00DA3D0B" w:rsidP="005534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17" w:name="n1997"/>
      <w:bookmarkStart w:id="18" w:name="n1994"/>
      <w:bookmarkStart w:id="19" w:name="n1993"/>
      <w:bookmarkStart w:id="20" w:name="n1992"/>
      <w:bookmarkStart w:id="21" w:name="n1990"/>
      <w:bookmarkEnd w:id="17"/>
      <w:bookmarkEnd w:id="18"/>
      <w:bookmarkEnd w:id="19"/>
      <w:bookmarkEnd w:id="20"/>
      <w:bookmarkEnd w:id="21"/>
    </w:p>
    <w:p w:rsidR="00CB77F8" w:rsidRDefault="00DA3D0B" w:rsidP="00157745">
      <w:pPr>
        <w:pStyle w:val="aa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34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Оцінка відповідності </w:t>
      </w:r>
    </w:p>
    <w:p w:rsidR="00DA3D0B" w:rsidRPr="00553478" w:rsidRDefault="00DA3D0B" w:rsidP="00553478">
      <w:pPr>
        <w:pStyle w:val="aa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3478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рішення </w:t>
      </w:r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>не містить положень, що стосуються зобов’язань України у сфері європейської інтеграції.</w:t>
      </w:r>
    </w:p>
    <w:p w:rsidR="00DA3D0B" w:rsidRPr="00553478" w:rsidRDefault="00DA3D0B" w:rsidP="00553478">
      <w:pPr>
        <w:pStyle w:val="aa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3478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рішення </w:t>
      </w:r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>не містить положень, що стосуються прав та свобод, гарантованих Конвенцією про захист прав людини і основоположних свобод.</w:t>
      </w:r>
    </w:p>
    <w:p w:rsidR="00DA3D0B" w:rsidRPr="00412871" w:rsidRDefault="00DA3D0B" w:rsidP="00553478">
      <w:pPr>
        <w:pStyle w:val="aa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55347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 w:bidi="ar-SA"/>
        </w:rPr>
        <w:t>п</w:t>
      </w:r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>роєкті</w:t>
      </w:r>
      <w:proofErr w:type="spellEnd"/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3478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рішення</w:t>
      </w:r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відсутні положення, які впливають на забезпечення рівних прав та можливостей жінок і чоловіків. </w:t>
      </w:r>
      <w:proofErr w:type="spellStart"/>
      <w:r w:rsidR="00412871" w:rsidRPr="00412871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412871">
        <w:rPr>
          <w:rFonts w:ascii="Times New Roman" w:eastAsia="Times New Roman" w:hAnsi="Times New Roman" w:cs="Times New Roman"/>
          <w:sz w:val="28"/>
          <w:szCs w:val="28"/>
          <w:lang w:val="uk-UA"/>
        </w:rPr>
        <w:t>єкт</w:t>
      </w:r>
      <w:proofErr w:type="spellEnd"/>
      <w:r w:rsidR="004128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</w:t>
      </w:r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відповідає положенням міжнародно-правових актів з питань забезпечення рівних прав та можливостей жінок і чоловіків, є </w:t>
      </w:r>
      <w:proofErr w:type="spellStart"/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>гендерно</w:t>
      </w:r>
      <w:proofErr w:type="spellEnd"/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нейтральним.</w:t>
      </w:r>
    </w:p>
    <w:p w:rsidR="00DA3D0B" w:rsidRPr="00553478" w:rsidRDefault="00DA3D0B" w:rsidP="00553478">
      <w:pPr>
        <w:pStyle w:val="aa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55347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 w:bidi="ar-SA"/>
        </w:rPr>
        <w:t>п</w:t>
      </w:r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>роєкті</w:t>
      </w:r>
      <w:proofErr w:type="spellEnd"/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3478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рішення</w:t>
      </w:r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відсутні положення, що містять ризики вчинення корупційних правопорушень та правопорушень, пов’язаних із корупцією. </w:t>
      </w:r>
      <w:proofErr w:type="spellStart"/>
      <w:r w:rsidRPr="0055347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 w:bidi="ar-SA"/>
        </w:rPr>
        <w:t>Проєкт</w:t>
      </w:r>
      <w:proofErr w:type="spellEnd"/>
      <w:r w:rsidRPr="0055347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 w:bidi="ar-SA"/>
        </w:rPr>
        <w:t xml:space="preserve"> </w:t>
      </w:r>
      <w:r w:rsidRPr="00553478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val="uk-UA" w:eastAsia="ru-RU" w:bidi="ar-SA"/>
        </w:rPr>
        <w:t>рішення</w:t>
      </w:r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потребує проведення антикорупційної експертизи Національного агентства з питань запобігання корупції та громадської антикорупційної експертизи.</w:t>
      </w:r>
    </w:p>
    <w:p w:rsidR="00DA3D0B" w:rsidRPr="00553478" w:rsidRDefault="00DA3D0B" w:rsidP="00553478">
      <w:pPr>
        <w:pStyle w:val="aa"/>
        <w:keepNext/>
        <w:tabs>
          <w:tab w:val="clear" w:pos="4677"/>
          <w:tab w:val="clear" w:pos="9355"/>
          <w:tab w:val="left" w:pos="4536"/>
          <w:tab w:val="center" w:pos="4819"/>
          <w:tab w:val="righ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47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 </w:t>
      </w:r>
      <w:proofErr w:type="spellStart"/>
      <w:r w:rsidRPr="00553478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 w:bidi="ar-SA"/>
        </w:rPr>
        <w:t>п</w:t>
      </w:r>
      <w:r w:rsidRPr="0055347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роєкті</w:t>
      </w:r>
      <w:proofErr w:type="spellEnd"/>
      <w:r w:rsidRPr="0055347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553478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>рішення</w:t>
      </w:r>
      <w:r w:rsidRPr="0055347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відсутні положення, які містять ознаки дискримінації чи створюють підстави для дискримінації. </w:t>
      </w:r>
      <w:proofErr w:type="spellStart"/>
      <w:r w:rsidRPr="00553478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 w:bidi="ar-SA"/>
        </w:rPr>
        <w:t>Проєкт</w:t>
      </w:r>
      <w:proofErr w:type="spellEnd"/>
      <w:r w:rsidRPr="00553478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 w:bidi="ar-SA"/>
        </w:rPr>
        <w:t xml:space="preserve"> </w:t>
      </w:r>
      <w:r w:rsidRPr="00553478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val="uk-UA" w:eastAsia="ru-RU" w:bidi="ar-SA"/>
        </w:rPr>
        <w:t>рішення</w:t>
      </w:r>
      <w:r w:rsidRPr="0055347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не потребує проведення громадської </w:t>
      </w:r>
      <w:proofErr w:type="spellStart"/>
      <w:r w:rsidRPr="0055347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антидискримінаційної</w:t>
      </w:r>
      <w:proofErr w:type="spellEnd"/>
      <w:r w:rsidRPr="0055347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експертизи.</w:t>
      </w:r>
    </w:p>
    <w:p w:rsidR="00DA3D0B" w:rsidRPr="00553478" w:rsidRDefault="00DA3D0B" w:rsidP="005534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B77F8" w:rsidRDefault="00DA3D0B" w:rsidP="0015774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5347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8. Прогноз результатів</w:t>
      </w:r>
    </w:p>
    <w:p w:rsidR="00DA3D0B" w:rsidRPr="00382C84" w:rsidRDefault="00DA3D0B" w:rsidP="00553478">
      <w:pPr>
        <w:tabs>
          <w:tab w:val="center" w:pos="4819"/>
          <w:tab w:val="right" w:pos="963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пр</w:t>
      </w:r>
      <w:r w:rsidRPr="0055347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 w:bidi="ar-SA"/>
        </w:rPr>
        <w:t xml:space="preserve">оєкту </w:t>
      </w:r>
      <w:r w:rsidRPr="00553478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val="uk-UA" w:eastAsia="ru-RU" w:bidi="ar-SA"/>
        </w:rPr>
        <w:t>рішення</w:t>
      </w:r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забезпечить </w:t>
      </w:r>
      <w:r w:rsidRPr="00553478">
        <w:rPr>
          <w:rStyle w:val="rvts9"/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 xml:space="preserve">встановлення </w:t>
      </w:r>
      <w:r w:rsidRPr="00553478">
        <w:rPr>
          <w:rStyle w:val="rvts9"/>
          <w:rFonts w:ascii="Times New Roman" w:eastAsia="Times New Roman" w:hAnsi="Times New Roman"/>
          <w:color w:val="212529"/>
          <w:sz w:val="28"/>
          <w:szCs w:val="28"/>
          <w:highlight w:val="white"/>
          <w:lang w:val="uk-UA" w:eastAsia="ru-RU"/>
        </w:rPr>
        <w:t xml:space="preserve">порядку </w:t>
      </w:r>
      <w:proofErr w:type="spellStart"/>
      <w:r w:rsidRPr="00553478">
        <w:rPr>
          <w:rStyle w:val="rvts9"/>
          <w:rFonts w:ascii="Times New Roman" w:eastAsia="Times New Roman" w:hAnsi="Times New Roman"/>
          <w:color w:val="212529"/>
          <w:sz w:val="28"/>
          <w:szCs w:val="28"/>
          <w:highlight w:val="white"/>
          <w:lang w:val="uk-UA" w:eastAsia="ru-RU"/>
        </w:rPr>
        <w:t>недопуску</w:t>
      </w:r>
      <w:proofErr w:type="spellEnd"/>
      <w:r w:rsidRPr="00553478">
        <w:rPr>
          <w:rStyle w:val="rvts9"/>
          <w:rFonts w:ascii="Times New Roman" w:eastAsia="Times New Roman" w:hAnsi="Times New Roman"/>
          <w:color w:val="212529"/>
          <w:sz w:val="28"/>
          <w:szCs w:val="28"/>
          <w:highlight w:val="white"/>
          <w:lang w:val="uk-UA" w:eastAsia="ru-RU"/>
        </w:rPr>
        <w:t xml:space="preserve"> </w:t>
      </w:r>
      <w:r w:rsidRPr="00553478">
        <w:rPr>
          <w:rStyle w:val="rvts9"/>
          <w:rFonts w:ascii="Times New Roman" w:eastAsia="Calibri" w:hAnsi="Times New Roman"/>
          <w:bCs/>
          <w:sz w:val="28"/>
          <w:szCs w:val="28"/>
          <w:highlight w:val="white"/>
          <w:lang w:val="uk-UA" w:eastAsia="ru-RU"/>
        </w:rPr>
        <w:t>до участі в азартних іграх осіб, яким обмежено доступ до участі в азартних іграх, та осіб, у яких виражена ігрова залежність (</w:t>
      </w:r>
      <w:proofErr w:type="spellStart"/>
      <w:r w:rsidRPr="00553478">
        <w:rPr>
          <w:rStyle w:val="rvts9"/>
          <w:rFonts w:ascii="Times New Roman" w:eastAsia="Calibri" w:hAnsi="Times New Roman"/>
          <w:bCs/>
          <w:sz w:val="28"/>
          <w:szCs w:val="28"/>
          <w:highlight w:val="white"/>
          <w:lang w:val="uk-UA" w:eastAsia="ru-RU"/>
        </w:rPr>
        <w:t>лудоманія</w:t>
      </w:r>
      <w:proofErr w:type="spellEnd"/>
      <w:r w:rsidRPr="00553478">
        <w:rPr>
          <w:rStyle w:val="rvts9"/>
          <w:rFonts w:ascii="Times New Roman" w:eastAsia="Calibri" w:hAnsi="Times New Roman"/>
          <w:bCs/>
          <w:sz w:val="28"/>
          <w:szCs w:val="28"/>
          <w:highlight w:val="white"/>
          <w:lang w:val="uk-UA" w:eastAsia="ru-RU"/>
        </w:rPr>
        <w:t>) з метою</w:t>
      </w:r>
      <w:r w:rsidRPr="00553478">
        <w:rPr>
          <w:rStyle w:val="rvts9"/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553478">
        <w:rPr>
          <w:rStyle w:val="rvts9"/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lastRenderedPageBreak/>
        <w:t>здійснення боротьби з ігровою залежністю</w:t>
      </w:r>
      <w:r w:rsidR="00211928" w:rsidRPr="00553478">
        <w:rPr>
          <w:rStyle w:val="rvts9"/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 xml:space="preserve"> шляхом мінімізації </w:t>
      </w:r>
      <w:r w:rsidR="00211928" w:rsidRPr="0038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негативного впливу </w:t>
      </w:r>
      <w:r w:rsidR="005A3157" w:rsidRPr="0038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наслідків від </w:t>
      </w:r>
      <w:r w:rsidR="00211928" w:rsidRPr="0038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азартних ігор</w:t>
      </w:r>
      <w:r w:rsidR="005A3157" w:rsidRPr="0038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</w:t>
      </w:r>
      <w:r w:rsidR="00553478" w:rsidRPr="0055347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highlight w:val="white"/>
          <w:shd w:val="clear" w:color="auto" w:fill="FFFFFF"/>
          <w:lang w:val="uk-UA" w:eastAsia="zh-CN"/>
        </w:rPr>
        <w:t xml:space="preserve"> фізичн</w:t>
      </w:r>
      <w:r w:rsidR="005A315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highlight w:val="white"/>
          <w:shd w:val="clear" w:color="auto" w:fill="FFFFFF"/>
          <w:lang w:val="uk-UA" w:eastAsia="zh-CN"/>
        </w:rPr>
        <w:t>у</w:t>
      </w:r>
      <w:r w:rsidR="00553478" w:rsidRPr="0055347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highlight w:val="white"/>
          <w:shd w:val="clear" w:color="auto" w:fill="FFFFFF"/>
          <w:lang w:val="uk-UA" w:eastAsia="zh-CN"/>
        </w:rPr>
        <w:t xml:space="preserve"> особ</w:t>
      </w:r>
      <w:r w:rsidR="005A315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highlight w:val="white"/>
          <w:shd w:val="clear" w:color="auto" w:fill="FFFFFF"/>
          <w:lang w:val="uk-UA" w:eastAsia="zh-CN"/>
        </w:rPr>
        <w:t>у</w:t>
      </w:r>
      <w:r w:rsidR="0055347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val="uk-UA" w:eastAsia="zh-CN"/>
        </w:rPr>
        <w:t>.</w:t>
      </w:r>
    </w:p>
    <w:p w:rsidR="00DA3D0B" w:rsidRPr="00553478" w:rsidRDefault="00DA3D0B" w:rsidP="00553478">
      <w:pPr>
        <w:tabs>
          <w:tab w:val="center" w:pos="4819"/>
          <w:tab w:val="righ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</w:t>
      </w:r>
      <w:r w:rsidRPr="0055347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 w:bidi="ar-SA"/>
        </w:rPr>
        <w:t>роєкту</w:t>
      </w:r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3478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рішення </w:t>
      </w:r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>не матиме негативного впливу на ринкове середовище, забезпечення захисту прав та інтересів суб’єктів господарювання, громадян і держави.</w:t>
      </w:r>
    </w:p>
    <w:p w:rsidR="00DA3D0B" w:rsidRPr="00553478" w:rsidRDefault="00DA3D0B" w:rsidP="00553478">
      <w:pPr>
        <w:tabs>
          <w:tab w:val="center" w:pos="4819"/>
          <w:tab w:val="righ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</w:t>
      </w:r>
      <w:r w:rsidRPr="0055347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 w:bidi="ar-SA"/>
        </w:rPr>
        <w:t xml:space="preserve">роєкту </w:t>
      </w:r>
      <w:r w:rsidRPr="00553478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val="uk-UA" w:eastAsia="ru-RU" w:bidi="ar-SA"/>
        </w:rPr>
        <w:t>рішення</w:t>
      </w:r>
      <w:r w:rsidRPr="0055347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 w:bidi="ar-SA"/>
        </w:rPr>
        <w:t xml:space="preserve"> </w:t>
      </w:r>
      <w:r w:rsidRPr="00553478">
        <w:rPr>
          <w:rFonts w:ascii="Times New Roman" w:eastAsia="Times New Roman" w:hAnsi="Times New Roman" w:cs="Times New Roman"/>
          <w:sz w:val="28"/>
          <w:szCs w:val="28"/>
          <w:lang w:val="uk-UA"/>
        </w:rPr>
        <w:t>не матиме впливу на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DA3D0B" w:rsidRPr="00553478" w:rsidRDefault="00DA3D0B" w:rsidP="00553478">
      <w:pPr>
        <w:tabs>
          <w:tab w:val="center" w:pos="4819"/>
          <w:tab w:val="righ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Прогноз очікуваних результатів реалізації </w:t>
      </w:r>
      <w:r w:rsidRPr="0055347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ar-SA"/>
        </w:rPr>
        <w:t xml:space="preserve">проєкту </w:t>
      </w:r>
      <w:r w:rsidRPr="00553478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val="uk-UA" w:eastAsia="ru-RU" w:bidi="ar-SA"/>
        </w:rPr>
        <w:t>рішення</w:t>
      </w:r>
      <w:r w:rsidRPr="005534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визначається в якісному вимірі та є позитивним для усіх заінтересованих сторін: держави, професійних учасників </w:t>
      </w:r>
      <w:r w:rsidRPr="0055347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ar-SA"/>
        </w:rPr>
        <w:t xml:space="preserve">у сфері азартних ігор </w:t>
      </w:r>
      <w:r w:rsidR="007B637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ar-SA"/>
        </w:rPr>
        <w:t xml:space="preserve">та </w:t>
      </w:r>
      <w:r w:rsidRPr="005534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їх клієнтів, а також не містить ризиків при реалізації положень проєкту </w:t>
      </w:r>
      <w:r w:rsidRPr="00553478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val="uk-UA" w:eastAsia="ru-RU" w:bidi="ar-SA"/>
        </w:rPr>
        <w:t>рішення</w:t>
      </w:r>
      <w:r w:rsidRPr="005534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DA3D0B" w:rsidRDefault="00DA3D0B">
      <w:pPr>
        <w:tabs>
          <w:tab w:val="center" w:pos="4819"/>
          <w:tab w:val="right" w:pos="96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69ED" w:rsidRDefault="003D69ED">
      <w:pPr>
        <w:tabs>
          <w:tab w:val="center" w:pos="4819"/>
          <w:tab w:val="right" w:pos="96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16FE" w:rsidRPr="004716FE" w:rsidRDefault="006B5C32" w:rsidP="004716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В. о. Голови КРАІЛ</w:t>
      </w:r>
      <w:r w:rsidR="004716FE" w:rsidRPr="004716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bookmarkStart w:id="22" w:name="_GoBack"/>
      <w:bookmarkEnd w:id="22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Олена ВОДОЛАЖКО</w:t>
      </w:r>
      <w:r w:rsidR="004716FE" w:rsidRPr="004716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E3D59" w:rsidRDefault="002E3D59" w:rsidP="002E3D59">
      <w:pPr>
        <w:tabs>
          <w:tab w:val="left" w:pos="283"/>
          <w:tab w:val="left" w:pos="340"/>
          <w:tab w:val="left" w:pos="7088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A3D0B" w:rsidRPr="00993D69" w:rsidRDefault="00DA3D0B" w:rsidP="002E3D59">
      <w:pPr>
        <w:jc w:val="both"/>
        <w:rPr>
          <w:rFonts w:ascii="Times New Roman" w:hAnsi="Times New Roman" w:cs="Times New Roman"/>
          <w:b/>
          <w:lang w:val="uk-UA"/>
        </w:rPr>
      </w:pPr>
    </w:p>
    <w:sectPr w:rsidR="00DA3D0B" w:rsidRPr="00993D69" w:rsidSect="00CB7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701" w:left="1701" w:header="1134" w:footer="720" w:gutter="0"/>
      <w:cols w:space="72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DA" w:rsidRDefault="00C802DA">
      <w:r>
        <w:separator/>
      </w:r>
    </w:p>
  </w:endnote>
  <w:endnote w:type="continuationSeparator" w:id="0">
    <w:p w:rsidR="00C802DA" w:rsidRDefault="00C8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59" w:rsidRDefault="002E3D5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59" w:rsidRDefault="002E3D5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59" w:rsidRDefault="002E3D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DA" w:rsidRDefault="00C802DA">
      <w:r>
        <w:separator/>
      </w:r>
    </w:p>
  </w:footnote>
  <w:footnote w:type="continuationSeparator" w:id="0">
    <w:p w:rsidR="00C802DA" w:rsidRDefault="00C80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59" w:rsidRDefault="002E3D5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59" w:rsidRDefault="002E3D59">
    <w:pPr>
      <w:pStyle w:val="aa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6B5C32">
      <w:rPr>
        <w:rFonts w:ascii="Times New Roman" w:hAnsi="Times New Roman" w:cs="Times New Roman"/>
        <w:noProof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59" w:rsidRDefault="002E3D59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CE"/>
    <w:rsid w:val="000401F4"/>
    <w:rsid w:val="00042A57"/>
    <w:rsid w:val="00045BE9"/>
    <w:rsid w:val="00047904"/>
    <w:rsid w:val="000D7DBE"/>
    <w:rsid w:val="00157745"/>
    <w:rsid w:val="00157CEF"/>
    <w:rsid w:val="001739E6"/>
    <w:rsid w:val="001924F3"/>
    <w:rsid w:val="001F5C40"/>
    <w:rsid w:val="00211928"/>
    <w:rsid w:val="0028079E"/>
    <w:rsid w:val="002A58DE"/>
    <w:rsid w:val="002C6FEC"/>
    <w:rsid w:val="002E3D59"/>
    <w:rsid w:val="002E45EE"/>
    <w:rsid w:val="00307925"/>
    <w:rsid w:val="003422F4"/>
    <w:rsid w:val="003725A2"/>
    <w:rsid w:val="00382C84"/>
    <w:rsid w:val="003D69ED"/>
    <w:rsid w:val="003F5B1A"/>
    <w:rsid w:val="004062FF"/>
    <w:rsid w:val="00412871"/>
    <w:rsid w:val="004401F1"/>
    <w:rsid w:val="00443917"/>
    <w:rsid w:val="004716FE"/>
    <w:rsid w:val="004866DC"/>
    <w:rsid w:val="004E3FB7"/>
    <w:rsid w:val="00553478"/>
    <w:rsid w:val="005A3157"/>
    <w:rsid w:val="005C0755"/>
    <w:rsid w:val="00680D8F"/>
    <w:rsid w:val="006B5C32"/>
    <w:rsid w:val="006B5FF7"/>
    <w:rsid w:val="00756727"/>
    <w:rsid w:val="0076731B"/>
    <w:rsid w:val="007B48FF"/>
    <w:rsid w:val="007B637B"/>
    <w:rsid w:val="007E6A9D"/>
    <w:rsid w:val="007F690B"/>
    <w:rsid w:val="00806CCE"/>
    <w:rsid w:val="008366B4"/>
    <w:rsid w:val="008403FB"/>
    <w:rsid w:val="00850387"/>
    <w:rsid w:val="008C527A"/>
    <w:rsid w:val="00993D69"/>
    <w:rsid w:val="009E3D73"/>
    <w:rsid w:val="00A11F09"/>
    <w:rsid w:val="00A342F6"/>
    <w:rsid w:val="00AB774B"/>
    <w:rsid w:val="00AF7EAE"/>
    <w:rsid w:val="00B96EFE"/>
    <w:rsid w:val="00BA772D"/>
    <w:rsid w:val="00C372FA"/>
    <w:rsid w:val="00C802DA"/>
    <w:rsid w:val="00CB77F8"/>
    <w:rsid w:val="00D00314"/>
    <w:rsid w:val="00D328FB"/>
    <w:rsid w:val="00DA3D0B"/>
    <w:rsid w:val="00E324CE"/>
    <w:rsid w:val="00E83B60"/>
    <w:rsid w:val="00E93CA7"/>
    <w:rsid w:val="00EE2AB6"/>
    <w:rsid w:val="00F21709"/>
    <w:rsid w:val="00F24E25"/>
    <w:rsid w:val="00F363A8"/>
    <w:rsid w:val="00F77651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Liberation Serif" w:hAnsi="Liberation Serif" w:cs="Liberation Serif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9">
    <w:name w:val="ListLabel 19"/>
    <w:rPr>
      <w:rFonts w:eastAsia="Times New Roman"/>
      <w:szCs w:val="28"/>
    </w:rPr>
  </w:style>
  <w:style w:type="character" w:customStyle="1" w:styleId="ListLabel20">
    <w:name w:val="ListLabel 20"/>
    <w:rPr>
      <w:rFonts w:eastAsia="Courier New"/>
    </w:rPr>
  </w:style>
  <w:style w:type="character" w:customStyle="1" w:styleId="ListLabel21">
    <w:name w:val="ListLabel 21"/>
    <w:rPr>
      <w:rFonts w:eastAsia="Wingdings"/>
    </w:rPr>
  </w:style>
  <w:style w:type="character" w:customStyle="1" w:styleId="ListLabel22">
    <w:name w:val="ListLabel 22"/>
    <w:rPr>
      <w:rFonts w:eastAsia="Symbol"/>
    </w:rPr>
  </w:style>
  <w:style w:type="character" w:customStyle="1" w:styleId="ListLabel23">
    <w:name w:val="ListLabel 23"/>
    <w:rPr>
      <w:rFonts w:eastAsia="Courier New"/>
    </w:rPr>
  </w:style>
  <w:style w:type="character" w:customStyle="1" w:styleId="ListLabel24">
    <w:name w:val="ListLabel 24"/>
    <w:rPr>
      <w:rFonts w:eastAsia="Wingdings"/>
    </w:rPr>
  </w:style>
  <w:style w:type="character" w:customStyle="1" w:styleId="ListLabel25">
    <w:name w:val="ListLabel 25"/>
    <w:rPr>
      <w:rFonts w:eastAsia="Symbol"/>
    </w:rPr>
  </w:style>
  <w:style w:type="character" w:customStyle="1" w:styleId="ListLabel26">
    <w:name w:val="ListLabel 26"/>
    <w:rPr>
      <w:rFonts w:eastAsia="Courier New"/>
    </w:rPr>
  </w:style>
  <w:style w:type="character" w:customStyle="1" w:styleId="ListLabel27">
    <w:name w:val="ListLabel 27"/>
    <w:rPr>
      <w:rFonts w:eastAsia="Wingdings"/>
    </w:rPr>
  </w:style>
  <w:style w:type="character" w:customStyle="1" w:styleId="ListLabel28">
    <w:name w:val="ListLabel 28"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30">
    <w:name w:val="ListLabel 30"/>
    <w:rPr>
      <w:rFonts w:eastAsia="Wingdings"/>
    </w:rPr>
  </w:style>
  <w:style w:type="character" w:customStyle="1" w:styleId="ListLabel31">
    <w:name w:val="ListLabel 31"/>
    <w:rPr>
      <w:rFonts w:eastAsia="Symbol"/>
    </w:rPr>
  </w:style>
  <w:style w:type="character" w:customStyle="1" w:styleId="ListLabel32">
    <w:name w:val="ListLabel 32"/>
    <w:rPr>
      <w:rFonts w:eastAsia="Courier New"/>
    </w:rPr>
  </w:style>
  <w:style w:type="character" w:customStyle="1" w:styleId="ListLabel33">
    <w:name w:val="ListLabel 33"/>
    <w:rPr>
      <w:rFonts w:eastAsia="Wingdings"/>
    </w:rPr>
  </w:style>
  <w:style w:type="character" w:customStyle="1" w:styleId="ListLabel34">
    <w:name w:val="ListLabel 34"/>
    <w:rPr>
      <w:rFonts w:eastAsia="Symbol"/>
    </w:rPr>
  </w:style>
  <w:style w:type="character" w:customStyle="1" w:styleId="ListLabel35">
    <w:name w:val="ListLabel 35"/>
    <w:rPr>
      <w:rFonts w:eastAsia="Courier New"/>
    </w:rPr>
  </w:style>
  <w:style w:type="character" w:customStyle="1" w:styleId="ListLabel36">
    <w:name w:val="ListLabel 36"/>
    <w:rPr>
      <w:rFonts w:eastAsia="Wingdings"/>
    </w:rPr>
  </w:style>
  <w:style w:type="character" w:styleId="a3">
    <w:name w:val="Hyperlink"/>
    <w:rPr>
      <w:color w:val="000080"/>
      <w:u w:val="single"/>
    </w:rPr>
  </w:style>
  <w:style w:type="character" w:customStyle="1" w:styleId="1">
    <w:name w:val="Основной шрифт абзаца1"/>
  </w:style>
  <w:style w:type="character" w:customStyle="1" w:styleId="rvts9">
    <w:name w:val="rvts9"/>
    <w:rPr>
      <w:rFonts w:cs="Times New Roman"/>
    </w:rPr>
  </w:style>
  <w:style w:type="character" w:customStyle="1" w:styleId="rvts23">
    <w:name w:val="rvts23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10"/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Основной текст1"/>
    <w:basedOn w:val="a"/>
    <w:pPr>
      <w:spacing w:after="140" w:line="276" w:lineRule="auto"/>
    </w:pPr>
  </w:style>
  <w:style w:type="paragraph" w:customStyle="1" w:styleId="11">
    <w:name w:val="Название1"/>
    <w:basedOn w:val="a"/>
    <w:pPr>
      <w:spacing w:before="120" w:after="120"/>
    </w:pPr>
    <w:rPr>
      <w:iCs/>
    </w:rPr>
  </w:style>
  <w:style w:type="paragraph" w:customStyle="1" w:styleId="12">
    <w:name w:val="Указатель1"/>
    <w:basedOn w:val="a"/>
  </w:style>
  <w:style w:type="paragraph" w:customStyle="1" w:styleId="rvps2">
    <w:name w:val="rvps2"/>
    <w:basedOn w:val="a"/>
    <w:pPr>
      <w:spacing w:before="280" w:after="280"/>
    </w:pPr>
    <w:rPr>
      <w:lang w:val="uk-UA"/>
    </w:rPr>
  </w:style>
  <w:style w:type="paragraph" w:customStyle="1" w:styleId="13">
    <w:name w:val="Обычный (веб)1"/>
    <w:basedOn w:val="a"/>
    <w:pPr>
      <w:spacing w:before="100" w:after="100"/>
    </w:p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 w:cs="Courier New"/>
      <w:sz w:val="20"/>
      <w:szCs w:val="20"/>
      <w:lang w:val="uk-UA" w:eastAsia="zh-CN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mbria" w:hAnsi="Cambria" w:cs="Cambria"/>
      <w:sz w:val="22"/>
      <w:szCs w:val="22"/>
      <w:lang w:val="uk-UA" w:eastAsia="en-US"/>
    </w:rPr>
  </w:style>
  <w:style w:type="paragraph" w:customStyle="1" w:styleId="a9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semiHidden/>
    <w:unhideWhenUsed/>
    <w:rsid w:val="00AF7EA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link w:val="ab"/>
    <w:uiPriority w:val="99"/>
    <w:semiHidden/>
    <w:rsid w:val="00AF7EAE"/>
    <w:rPr>
      <w:rFonts w:ascii="Liberation Serif" w:eastAsia="Liberation Serif" w:hAnsi="Liberation Serif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Liberation Serif" w:hAnsi="Liberation Serif" w:cs="Liberation Serif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9">
    <w:name w:val="ListLabel 19"/>
    <w:rPr>
      <w:rFonts w:eastAsia="Times New Roman"/>
      <w:szCs w:val="28"/>
    </w:rPr>
  </w:style>
  <w:style w:type="character" w:customStyle="1" w:styleId="ListLabel20">
    <w:name w:val="ListLabel 20"/>
    <w:rPr>
      <w:rFonts w:eastAsia="Courier New"/>
    </w:rPr>
  </w:style>
  <w:style w:type="character" w:customStyle="1" w:styleId="ListLabel21">
    <w:name w:val="ListLabel 21"/>
    <w:rPr>
      <w:rFonts w:eastAsia="Wingdings"/>
    </w:rPr>
  </w:style>
  <w:style w:type="character" w:customStyle="1" w:styleId="ListLabel22">
    <w:name w:val="ListLabel 22"/>
    <w:rPr>
      <w:rFonts w:eastAsia="Symbol"/>
    </w:rPr>
  </w:style>
  <w:style w:type="character" w:customStyle="1" w:styleId="ListLabel23">
    <w:name w:val="ListLabel 23"/>
    <w:rPr>
      <w:rFonts w:eastAsia="Courier New"/>
    </w:rPr>
  </w:style>
  <w:style w:type="character" w:customStyle="1" w:styleId="ListLabel24">
    <w:name w:val="ListLabel 24"/>
    <w:rPr>
      <w:rFonts w:eastAsia="Wingdings"/>
    </w:rPr>
  </w:style>
  <w:style w:type="character" w:customStyle="1" w:styleId="ListLabel25">
    <w:name w:val="ListLabel 25"/>
    <w:rPr>
      <w:rFonts w:eastAsia="Symbol"/>
    </w:rPr>
  </w:style>
  <w:style w:type="character" w:customStyle="1" w:styleId="ListLabel26">
    <w:name w:val="ListLabel 26"/>
    <w:rPr>
      <w:rFonts w:eastAsia="Courier New"/>
    </w:rPr>
  </w:style>
  <w:style w:type="character" w:customStyle="1" w:styleId="ListLabel27">
    <w:name w:val="ListLabel 27"/>
    <w:rPr>
      <w:rFonts w:eastAsia="Wingdings"/>
    </w:rPr>
  </w:style>
  <w:style w:type="character" w:customStyle="1" w:styleId="ListLabel28">
    <w:name w:val="ListLabel 28"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30">
    <w:name w:val="ListLabel 30"/>
    <w:rPr>
      <w:rFonts w:eastAsia="Wingdings"/>
    </w:rPr>
  </w:style>
  <w:style w:type="character" w:customStyle="1" w:styleId="ListLabel31">
    <w:name w:val="ListLabel 31"/>
    <w:rPr>
      <w:rFonts w:eastAsia="Symbol"/>
    </w:rPr>
  </w:style>
  <w:style w:type="character" w:customStyle="1" w:styleId="ListLabel32">
    <w:name w:val="ListLabel 32"/>
    <w:rPr>
      <w:rFonts w:eastAsia="Courier New"/>
    </w:rPr>
  </w:style>
  <w:style w:type="character" w:customStyle="1" w:styleId="ListLabel33">
    <w:name w:val="ListLabel 33"/>
    <w:rPr>
      <w:rFonts w:eastAsia="Wingdings"/>
    </w:rPr>
  </w:style>
  <w:style w:type="character" w:customStyle="1" w:styleId="ListLabel34">
    <w:name w:val="ListLabel 34"/>
    <w:rPr>
      <w:rFonts w:eastAsia="Symbol"/>
    </w:rPr>
  </w:style>
  <w:style w:type="character" w:customStyle="1" w:styleId="ListLabel35">
    <w:name w:val="ListLabel 35"/>
    <w:rPr>
      <w:rFonts w:eastAsia="Courier New"/>
    </w:rPr>
  </w:style>
  <w:style w:type="character" w:customStyle="1" w:styleId="ListLabel36">
    <w:name w:val="ListLabel 36"/>
    <w:rPr>
      <w:rFonts w:eastAsia="Wingdings"/>
    </w:rPr>
  </w:style>
  <w:style w:type="character" w:styleId="a3">
    <w:name w:val="Hyperlink"/>
    <w:rPr>
      <w:color w:val="000080"/>
      <w:u w:val="single"/>
    </w:rPr>
  </w:style>
  <w:style w:type="character" w:customStyle="1" w:styleId="1">
    <w:name w:val="Основной шрифт абзаца1"/>
  </w:style>
  <w:style w:type="character" w:customStyle="1" w:styleId="rvts9">
    <w:name w:val="rvts9"/>
    <w:rPr>
      <w:rFonts w:cs="Times New Roman"/>
    </w:rPr>
  </w:style>
  <w:style w:type="character" w:customStyle="1" w:styleId="rvts23">
    <w:name w:val="rvts23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10"/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Основной текст1"/>
    <w:basedOn w:val="a"/>
    <w:pPr>
      <w:spacing w:after="140" w:line="276" w:lineRule="auto"/>
    </w:pPr>
  </w:style>
  <w:style w:type="paragraph" w:customStyle="1" w:styleId="11">
    <w:name w:val="Название1"/>
    <w:basedOn w:val="a"/>
    <w:pPr>
      <w:spacing w:before="120" w:after="120"/>
    </w:pPr>
    <w:rPr>
      <w:iCs/>
    </w:rPr>
  </w:style>
  <w:style w:type="paragraph" w:customStyle="1" w:styleId="12">
    <w:name w:val="Указатель1"/>
    <w:basedOn w:val="a"/>
  </w:style>
  <w:style w:type="paragraph" w:customStyle="1" w:styleId="rvps2">
    <w:name w:val="rvps2"/>
    <w:basedOn w:val="a"/>
    <w:pPr>
      <w:spacing w:before="280" w:after="280"/>
    </w:pPr>
    <w:rPr>
      <w:lang w:val="uk-UA"/>
    </w:rPr>
  </w:style>
  <w:style w:type="paragraph" w:customStyle="1" w:styleId="13">
    <w:name w:val="Обычный (веб)1"/>
    <w:basedOn w:val="a"/>
    <w:pPr>
      <w:spacing w:before="100" w:after="100"/>
    </w:p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 w:cs="Courier New"/>
      <w:sz w:val="20"/>
      <w:szCs w:val="20"/>
      <w:lang w:val="uk-UA" w:eastAsia="zh-CN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mbria" w:hAnsi="Cambria" w:cs="Cambria"/>
      <w:sz w:val="22"/>
      <w:szCs w:val="22"/>
      <w:lang w:val="uk-UA" w:eastAsia="en-US"/>
    </w:rPr>
  </w:style>
  <w:style w:type="paragraph" w:customStyle="1" w:styleId="a9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semiHidden/>
    <w:unhideWhenUsed/>
    <w:rsid w:val="00AF7EA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link w:val="ab"/>
    <w:uiPriority w:val="99"/>
    <w:semiHidden/>
    <w:rsid w:val="00AF7EAE"/>
    <w:rPr>
      <w:rFonts w:ascii="Liberation Serif" w:eastAsia="Liberation Serif" w:hAnsi="Liberation Serif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2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Guest_20</cp:lastModifiedBy>
  <cp:revision>4</cp:revision>
  <cp:lastPrinted>1995-11-21T14:41:00Z</cp:lastPrinted>
  <dcterms:created xsi:type="dcterms:W3CDTF">2022-07-21T11:10:00Z</dcterms:created>
  <dcterms:modified xsi:type="dcterms:W3CDTF">2022-07-22T11:59:00Z</dcterms:modified>
</cp:coreProperties>
</file>