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1DA61" w14:textId="77777777" w:rsidR="00BA3751" w:rsidRDefault="00741837" w:rsidP="00BA3751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sz w:val="28"/>
          <w:szCs w:val="28"/>
          <w:lang w:eastAsia="uk-UA"/>
        </w:rPr>
        <w:t>ПОЯСНЮВАЛЬНА ЗАПИСКА</w:t>
      </w:r>
      <w:r w:rsidRPr="002B4AAA">
        <w:rPr>
          <w:sz w:val="28"/>
          <w:szCs w:val="28"/>
          <w:lang w:eastAsia="uk-UA"/>
        </w:rPr>
        <w:br/>
      </w:r>
      <w:r w:rsidRPr="002B4AAA">
        <w:rPr>
          <w:b/>
          <w:bCs/>
          <w:sz w:val="28"/>
          <w:szCs w:val="28"/>
          <w:lang w:eastAsia="uk-UA"/>
        </w:rPr>
        <w:t xml:space="preserve">до проєкту </w:t>
      </w:r>
      <w:r w:rsidR="00BA3751">
        <w:rPr>
          <w:b/>
          <w:bCs/>
          <w:sz w:val="28"/>
          <w:szCs w:val="28"/>
          <w:lang w:eastAsia="uk-UA"/>
        </w:rPr>
        <w:t>постанови Кабінету Міністрів</w:t>
      </w:r>
      <w:r w:rsidR="006A38C7">
        <w:rPr>
          <w:b/>
          <w:bCs/>
          <w:sz w:val="28"/>
          <w:szCs w:val="28"/>
          <w:lang w:eastAsia="uk-UA"/>
        </w:rPr>
        <w:t xml:space="preserve"> України «</w:t>
      </w:r>
      <w:r w:rsidR="00BA3751" w:rsidRPr="00BA3751">
        <w:rPr>
          <w:b/>
          <w:bCs/>
          <w:sz w:val="28"/>
          <w:szCs w:val="28"/>
          <w:lang w:eastAsia="uk-UA"/>
        </w:rPr>
        <w:t xml:space="preserve">Про внесення зміни </w:t>
      </w:r>
    </w:p>
    <w:p w14:paraId="6D96A314" w14:textId="77777777" w:rsidR="00BA3751" w:rsidRDefault="00BA3751" w:rsidP="00BA3751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BA3751">
        <w:rPr>
          <w:b/>
          <w:bCs/>
          <w:sz w:val="28"/>
          <w:szCs w:val="28"/>
          <w:lang w:eastAsia="uk-UA"/>
        </w:rPr>
        <w:t xml:space="preserve">до пункту 1 постанови Кабінету Міністрів України </w:t>
      </w:r>
    </w:p>
    <w:p w14:paraId="1D0F62AF" w14:textId="46FB2F46" w:rsidR="00335710" w:rsidRPr="002B4AAA" w:rsidRDefault="00BA3751" w:rsidP="00BA3751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BA3751">
        <w:rPr>
          <w:b/>
          <w:bCs/>
          <w:sz w:val="28"/>
          <w:szCs w:val="28"/>
          <w:lang w:eastAsia="uk-UA"/>
        </w:rPr>
        <w:t>від 18 березня 2022 р. № 314</w:t>
      </w:r>
      <w:r w:rsidR="00EE0228" w:rsidRPr="00EE0228">
        <w:rPr>
          <w:b/>
          <w:bCs/>
          <w:sz w:val="28"/>
          <w:szCs w:val="28"/>
          <w:lang w:eastAsia="uk-UA"/>
        </w:rPr>
        <w:t>»</w:t>
      </w:r>
    </w:p>
    <w:p w14:paraId="7249A3F8" w14:textId="77777777" w:rsidR="00335710" w:rsidRPr="00FF2C00" w:rsidRDefault="00335710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14:paraId="0E245D7A" w14:textId="77777777"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2422D8E1" w14:textId="56603CA5" w:rsidR="00335710" w:rsidRDefault="00DC3CCD" w:rsidP="00DC3CCD">
      <w:pPr>
        <w:pStyle w:val="af"/>
        <w:suppressAutoHyphens/>
        <w:ind w:left="0" w:firstLine="709"/>
        <w:jc w:val="both"/>
        <w:rPr>
          <w:rStyle w:val="rvts23"/>
          <w:rFonts w:eastAsia="NSimSun"/>
          <w:sz w:val="28"/>
          <w:szCs w:val="28"/>
        </w:rPr>
      </w:pPr>
      <w:r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 xml:space="preserve">роєкт </w:t>
      </w:r>
      <w:r w:rsidR="00327850">
        <w:rPr>
          <w:sz w:val="28"/>
          <w:szCs w:val="28"/>
          <w:lang w:eastAsia="uk-UA"/>
        </w:rPr>
        <w:t xml:space="preserve">постанови Кабінету Міністрів України </w:t>
      </w:r>
      <w:r w:rsidR="006A38C7">
        <w:rPr>
          <w:sz w:val="28"/>
          <w:szCs w:val="28"/>
          <w:lang w:eastAsia="uk-UA"/>
        </w:rPr>
        <w:t>«</w:t>
      </w:r>
      <w:r w:rsidR="00327850" w:rsidRPr="00327850">
        <w:rPr>
          <w:sz w:val="28"/>
          <w:szCs w:val="28"/>
          <w:lang w:eastAsia="uk-UA"/>
        </w:rPr>
        <w:t>Про внесення зміни до пункту 1 постанови Кабінету Міністрів України від 18 березня 2022 р. № 314</w:t>
      </w:r>
      <w:r w:rsidR="009B08A6" w:rsidRPr="002B4AAA">
        <w:rPr>
          <w:sz w:val="28"/>
          <w:szCs w:val="28"/>
          <w:lang w:eastAsia="uk-UA"/>
        </w:rPr>
        <w:t>»</w:t>
      </w:r>
      <w:r w:rsidR="00815C74" w:rsidRPr="002B4AAA">
        <w:rPr>
          <w:sz w:val="28"/>
          <w:szCs w:val="28"/>
          <w:lang w:eastAsia="uk-UA"/>
        </w:rPr>
        <w:t xml:space="preserve"> </w:t>
      </w:r>
      <w:r w:rsidR="00741837" w:rsidRPr="002B4AAA">
        <w:rPr>
          <w:sz w:val="28"/>
          <w:szCs w:val="28"/>
          <w:lang w:eastAsia="uk-UA"/>
        </w:rPr>
        <w:t xml:space="preserve">(далі — </w:t>
      </w:r>
      <w:r w:rsidR="009B08A6" w:rsidRPr="002B4AAA">
        <w:rPr>
          <w:sz w:val="28"/>
          <w:szCs w:val="28"/>
          <w:lang w:eastAsia="uk-UA"/>
        </w:rPr>
        <w:t>п</w:t>
      </w:r>
      <w:r w:rsidR="00741837" w:rsidRPr="002B4AAA">
        <w:rPr>
          <w:sz w:val="28"/>
          <w:szCs w:val="28"/>
          <w:lang w:eastAsia="uk-UA"/>
        </w:rPr>
        <w:t>роєкт</w:t>
      </w:r>
      <w:r w:rsidR="00D05611">
        <w:rPr>
          <w:sz w:val="28"/>
          <w:szCs w:val="28"/>
          <w:lang w:eastAsia="uk-UA"/>
        </w:rPr>
        <w:t xml:space="preserve"> </w:t>
      </w:r>
      <w:r w:rsidR="00327850">
        <w:rPr>
          <w:sz w:val="28"/>
          <w:szCs w:val="28"/>
          <w:lang w:eastAsia="uk-UA"/>
        </w:rPr>
        <w:t>постанови</w:t>
      </w:r>
      <w:r w:rsidR="00741837" w:rsidRPr="002B4AAA">
        <w:rPr>
          <w:sz w:val="28"/>
          <w:szCs w:val="28"/>
          <w:lang w:eastAsia="uk-UA"/>
        </w:rPr>
        <w:t xml:space="preserve">) </w:t>
      </w:r>
      <w:r w:rsidRPr="00DC3CCD">
        <w:rPr>
          <w:sz w:val="28"/>
          <w:szCs w:val="28"/>
          <w:lang w:eastAsia="uk-UA"/>
        </w:rPr>
        <w:t>розроблено з метою</w:t>
      </w:r>
      <w:r>
        <w:rPr>
          <w:sz w:val="28"/>
          <w:szCs w:val="28"/>
          <w:lang w:eastAsia="uk-UA"/>
        </w:rPr>
        <w:t xml:space="preserve"> </w:t>
      </w:r>
      <w:r w:rsidR="00327850" w:rsidRPr="00327850">
        <w:rPr>
          <w:sz w:val="28"/>
          <w:szCs w:val="28"/>
          <w:lang w:eastAsia="uk-UA"/>
        </w:rPr>
        <w:t xml:space="preserve">забезпечення у повному обсязі надходжень до Державного бюджету </w:t>
      </w:r>
      <w:r w:rsidR="00F71D63">
        <w:rPr>
          <w:sz w:val="28"/>
          <w:szCs w:val="28"/>
          <w:lang w:eastAsia="uk-UA"/>
        </w:rPr>
        <w:t xml:space="preserve">щорічної </w:t>
      </w:r>
      <w:r w:rsidR="00327850" w:rsidRPr="00327850">
        <w:rPr>
          <w:sz w:val="28"/>
          <w:szCs w:val="28"/>
          <w:lang w:eastAsia="uk-UA"/>
        </w:rPr>
        <w:t>плати за ліцензі</w:t>
      </w:r>
      <w:r w:rsidR="00FB0B9B">
        <w:rPr>
          <w:sz w:val="28"/>
          <w:szCs w:val="28"/>
          <w:lang w:eastAsia="uk-UA"/>
        </w:rPr>
        <w:t>ї</w:t>
      </w:r>
      <w:r w:rsidR="00327850" w:rsidRPr="00327850">
        <w:rPr>
          <w:sz w:val="28"/>
          <w:szCs w:val="28"/>
          <w:lang w:eastAsia="uk-UA"/>
        </w:rPr>
        <w:t xml:space="preserve"> у сфері з організації та проведення азартних ігор</w:t>
      </w:r>
      <w:r w:rsidR="009B08A6" w:rsidRPr="002B4AAA">
        <w:rPr>
          <w:rStyle w:val="rvts23"/>
          <w:rFonts w:eastAsia="NSimSun"/>
          <w:sz w:val="28"/>
          <w:szCs w:val="28"/>
        </w:rPr>
        <w:t>.</w:t>
      </w:r>
    </w:p>
    <w:p w14:paraId="67E6F51F" w14:textId="77777777" w:rsidR="00335710" w:rsidRPr="00FF2C00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0" w:name="n1977"/>
      <w:bookmarkStart w:id="1" w:name="n1978"/>
      <w:bookmarkEnd w:id="0"/>
      <w:bookmarkEnd w:id="1"/>
    </w:p>
    <w:p w14:paraId="225687BF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2533F6CA" w14:textId="1120528C" w:rsidR="00F47B45" w:rsidRDefault="00F47B45" w:rsidP="00F47B45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Питання плати та строку дії ліцензій на провадження діяльності з організації та проведення азартних ігор врегульовані статтями </w:t>
      </w:r>
      <w:r w:rsidR="00F71D63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49, 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52 – 5</w:t>
      </w:r>
      <w:r w:rsidR="00D02E5A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7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Закону</w:t>
      </w:r>
      <w:r w:rsidR="00760794" w:rsidRPr="00760794">
        <w:rPr>
          <w:sz w:val="28"/>
          <w:szCs w:val="28"/>
          <w:lang w:eastAsia="uk-UA"/>
        </w:rPr>
        <w:t xml:space="preserve"> </w:t>
      </w:r>
      <w:r w:rsidR="00760794">
        <w:rPr>
          <w:sz w:val="28"/>
          <w:szCs w:val="28"/>
          <w:lang w:eastAsia="uk-UA"/>
        </w:rPr>
        <w:t xml:space="preserve">України </w:t>
      </w:r>
      <w:r w:rsidR="00760794" w:rsidRPr="000C6F4B">
        <w:rPr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</w:t>
      </w:r>
      <w:r w:rsidR="00760794">
        <w:rPr>
          <w:sz w:val="28"/>
          <w:szCs w:val="28"/>
          <w:lang w:eastAsia="uk-UA"/>
        </w:rPr>
        <w:t xml:space="preserve"> (далі – Закон)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, відповідно до яких ліцензії видаються Уповноваженим органом строком на п’ять років. </w:t>
      </w:r>
    </w:p>
    <w:p w14:paraId="3EB052ED" w14:textId="77777777" w:rsidR="00BD4AB7" w:rsidRDefault="00F47B45" w:rsidP="00F47B45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Згідно з частиною першою статті 49 Закону ліцензії видаються Уповноваженим органом після отримання документа, що підтверджує внесення плати за перший рік дії відповідної ліцензії згідно з цим Законом.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Відповідно до положень частин четвертої та шостої статті 49 Закону щорічна плата за ліцензії на провадження діяльності з організації та проведення азартних ігор, а також за ліцензії на гральний автомат, гральний стіл,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букмекерський пункт за кожен рік дії ліцензії сплачується не пізніше, ніж за тридцять днів до початку кожного наступного року дії ліцензії. </w:t>
      </w:r>
    </w:p>
    <w:p w14:paraId="65E88B46" w14:textId="4308E787" w:rsidR="00F47B45" w:rsidRDefault="00BD4AB7" w:rsidP="00F47B45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При цьому, пунктом</w:t>
      </w:r>
      <w:r w:rsidR="00F47B45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6 частини першої статті 51</w:t>
      </w:r>
      <w:r w:rsidR="007618F8" w:rsidRPr="007618F8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F47B45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Закону 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встановлено, що </w:t>
      </w:r>
      <w:r w:rsidR="00F47B45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несплата або прострочення здійснення плати за ліцензію понад два місяці є підставою для прийняття рішення про анулювання ліцензії.</w:t>
      </w:r>
    </w:p>
    <w:p w14:paraId="755642CD" w14:textId="5BADC141" w:rsidR="00034411" w:rsidRDefault="00BD4AB7" w:rsidP="00BD4AB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Times New Roman"/>
          <w:bCs/>
          <w:sz w:val="28"/>
          <w:szCs w:val="28"/>
        </w:rPr>
        <w:t>Однак, в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ід початку введення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правового режиму 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воєнного стану </w:t>
      </w:r>
      <w:r w:rsidRPr="000174D4">
        <w:rPr>
          <w:rFonts w:eastAsia="Times New Roman"/>
          <w:sz w:val="28"/>
          <w:szCs w:val="28"/>
        </w:rPr>
        <w:t>на території України</w:t>
      </w:r>
      <w:r w:rsidRPr="00901B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</w:t>
      </w:r>
      <w:r w:rsidRPr="006A38C7">
        <w:rPr>
          <w:rFonts w:eastAsia="Times New Roman"/>
          <w:sz w:val="28"/>
          <w:szCs w:val="28"/>
        </w:rPr>
        <w:t xml:space="preserve"> зв’язку з військовою агресією </w:t>
      </w:r>
      <w:r>
        <w:rPr>
          <w:rFonts w:eastAsia="Times New Roman"/>
          <w:sz w:val="28"/>
          <w:szCs w:val="28"/>
        </w:rPr>
        <w:t>р</w:t>
      </w:r>
      <w:r w:rsidRPr="006A38C7">
        <w:rPr>
          <w:rFonts w:eastAsia="Times New Roman"/>
          <w:sz w:val="28"/>
          <w:szCs w:val="28"/>
        </w:rPr>
        <w:t xml:space="preserve">осійської </w:t>
      </w:r>
      <w:r>
        <w:rPr>
          <w:rFonts w:eastAsia="Times New Roman"/>
          <w:sz w:val="28"/>
          <w:szCs w:val="28"/>
        </w:rPr>
        <w:t>ф</w:t>
      </w:r>
      <w:r w:rsidRPr="006A38C7">
        <w:rPr>
          <w:rFonts w:eastAsia="Times New Roman"/>
          <w:sz w:val="28"/>
          <w:szCs w:val="28"/>
        </w:rPr>
        <w:t>едерації проти України</w:t>
      </w:r>
      <w:r>
        <w:rPr>
          <w:rFonts w:eastAsia="Times New Roman"/>
          <w:sz w:val="28"/>
          <w:szCs w:val="28"/>
        </w:rPr>
        <w:t xml:space="preserve"> в</w:t>
      </w:r>
      <w:r w:rsidR="00901B05" w:rsidRPr="00901B05">
        <w:rPr>
          <w:rFonts w:eastAsia="Times New Roman"/>
          <w:bCs/>
          <w:sz w:val="28"/>
          <w:szCs w:val="28"/>
        </w:rPr>
        <w:t>ідповідно до Указу Президента України від 24</w:t>
      </w:r>
      <w:r w:rsidR="00F4298B" w:rsidRPr="00F4298B">
        <w:rPr>
          <w:rFonts w:eastAsia="Times New Roman"/>
          <w:bCs/>
          <w:sz w:val="28"/>
          <w:szCs w:val="28"/>
        </w:rPr>
        <w:t xml:space="preserve"> </w:t>
      </w:r>
      <w:r w:rsidR="00F4298B">
        <w:rPr>
          <w:rFonts w:eastAsia="Times New Roman"/>
          <w:bCs/>
          <w:sz w:val="28"/>
          <w:szCs w:val="28"/>
        </w:rPr>
        <w:t xml:space="preserve">лютого </w:t>
      </w:r>
      <w:r w:rsidR="00901B05" w:rsidRPr="00901B05">
        <w:rPr>
          <w:rFonts w:eastAsia="Times New Roman"/>
          <w:bCs/>
          <w:sz w:val="28"/>
          <w:szCs w:val="28"/>
        </w:rPr>
        <w:t xml:space="preserve">2022 </w:t>
      </w:r>
      <w:r w:rsidR="00F4298B">
        <w:rPr>
          <w:rFonts w:eastAsia="Times New Roman"/>
          <w:bCs/>
          <w:sz w:val="28"/>
          <w:szCs w:val="28"/>
        </w:rPr>
        <w:t xml:space="preserve">року </w:t>
      </w:r>
      <w:r w:rsidR="00901B05" w:rsidRPr="00901B05">
        <w:rPr>
          <w:rFonts w:eastAsia="Times New Roman"/>
          <w:bCs/>
          <w:sz w:val="28"/>
          <w:szCs w:val="28"/>
        </w:rPr>
        <w:t>№ 64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</w:t>
      </w:r>
      <w:r w:rsidR="000574F5">
        <w:rPr>
          <w:rFonts w:eastAsia="Times New Roman"/>
          <w:bCs/>
          <w:sz w:val="28"/>
          <w:szCs w:val="28"/>
        </w:rPr>
        <w:t>,</w:t>
      </w:r>
      <w:r w:rsidR="000174D4" w:rsidRPr="000174D4">
        <w:rPr>
          <w:rFonts w:eastAsia="Times New Roman"/>
          <w:sz w:val="28"/>
          <w:szCs w:val="28"/>
        </w:rPr>
        <w:t xml:space="preserve"> 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до КРАІЛ надходили звернення 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організаторів азартних ігор, зокрема, щодо можливості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звільнення від відповідальності за несплату або прострочення здійснення плати за ліцензію у зв’язку з настанням обставин форс-мажору внаслідок військової агресії російської федерації, а також про відстрочення внесення плати за ліцензію до припинення або скасування воєнного стану тощо. </w:t>
      </w:r>
    </w:p>
    <w:p w14:paraId="58656B88" w14:textId="33DBB5E1" w:rsidR="00BD4AB7" w:rsidRDefault="00BD4AB7" w:rsidP="00BD4AB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BD4AB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В обґрунтування поважності причин допущення прострочення сплати ліцензійних платежів організатори азартних ігор, крім іншого, посилаються на положення підпункту 5 пункту 1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постанови</w:t>
      </w:r>
      <w:r w:rsidRPr="00BD4AB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Кабінету Міністрів України 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                  </w:t>
      </w:r>
      <w:r w:rsidRPr="00BD4AB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lastRenderedPageBreak/>
        <w:t xml:space="preserve">від 18 березня 2022 </w:t>
      </w:r>
      <w:r w:rsidR="00F4298B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року </w:t>
      </w:r>
      <w:r w:rsidRPr="00BD4AB7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№ 314 «Деякі питання забезпечення провадження господарської діяльності в умовах воєнного стану» (далі – Постанова № 314).</w:t>
      </w:r>
    </w:p>
    <w:p w14:paraId="1A1EFD94" w14:textId="77777777" w:rsidR="00BD4AB7" w:rsidRDefault="00BD4AB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Підпунктом 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5 пункту 1 Постанови № 314 визначено, що 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скасування, а періодичні, чергові платежі за ними відстрочуються на строк, зазначений у цьому підпункті.</w:t>
      </w:r>
    </w:p>
    <w:p w14:paraId="317D03E8" w14:textId="77777777" w:rsidR="00BD4AB7" w:rsidRDefault="0090417E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КРАІЛ, керуючись нормами Постанови № 314, з огляду на ситуацію, що склалась на ринку азартних ігор внаслідок військового вторгнення в Україну, наразі не розглядає питання щодо притягнення ліцензіатів до відповідальності за порушення встановлених Законом строків сплати за ліцензії у сфері діяльності з організації та проведення азартних ігор у вигляді анулювання відповідних ліцензій. </w:t>
      </w:r>
    </w:p>
    <w:p w14:paraId="5BC80189" w14:textId="526DDAB9" w:rsidR="00BD4AB7" w:rsidRDefault="00BD4AB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Водночас,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аналіз фактичного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стан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у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надходжень до спеціального фонду Державного бюджету України за ліцензії на провадження</w:t>
      </w:r>
      <w:r w:rsid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діяльності у сфері організації та проведення азартних ігор і на випуск та проведення лотерей за другий рік дії ліцензій 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засвідчив, що 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станом на </w:t>
      </w:r>
      <w:r w:rsidR="00C25D41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25.11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.2022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до зазначеного фонду надійшло лише </w:t>
      </w:r>
      <w:r w:rsidR="00C25D41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72,3</w:t>
      </w:r>
      <w:r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% від запланованої річної суми надходжень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. </w:t>
      </w:r>
    </w:p>
    <w:p w14:paraId="045F2D83" w14:textId="520267FE" w:rsidR="00034411" w:rsidRDefault="00BD4AB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Так, </w:t>
      </w:r>
      <w:r w:rsidR="00A5730D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з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агальна сума коштів, що надійшла станом з 01.01.2022 до </w:t>
      </w:r>
      <w:r w:rsidR="00C25D41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25.11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.2022 до спеціального фонду Державного бюджету України за ліцензії на провадження діяльності у сфері організації та проведення азартних ігор і на випуск та проведення лотерей становить </w:t>
      </w:r>
      <w:r w:rsidR="00C25D41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860 496,2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тис. грн.</w:t>
      </w: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p w14:paraId="4A7C1A5E" w14:textId="713A9D06" w:rsidR="00BD4AB7" w:rsidRDefault="00BD4AB7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При цьому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не здійснено щорічну плату за наступний рік дії ліцензії на загальну суму </w:t>
      </w:r>
      <w:r w:rsidR="00C25D41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>1 147 510,0</w:t>
      </w:r>
      <w:r w:rsidR="0090417E" w:rsidRPr="0090417E">
        <w:rPr>
          <w:rFonts w:eastAsia="NSimSun"/>
          <w:kern w:val="2"/>
          <w:sz w:val="28"/>
          <w:szCs w:val="28"/>
          <w:shd w:val="clear" w:color="auto" w:fill="FFFFFF"/>
          <w:lang w:eastAsia="zh-CN" w:bidi="hi-IN"/>
        </w:rPr>
        <w:t xml:space="preserve"> тис. грн. </w:t>
      </w:r>
    </w:p>
    <w:p w14:paraId="7AFF10A3" w14:textId="7DA0AD15" w:rsidR="006A38C7" w:rsidRDefault="000626DB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Звертаємо увагу</w:t>
      </w:r>
      <w:r w:rsidR="00760794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, що відповідно до частини другої статті 4 Закону одним із принципів д</w:t>
      </w:r>
      <w:r w:rsidR="00760794" w:rsidRPr="00760794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ержавної політики у сфері організації та проведення азартних ігор є підтримка розвитку економіки України, соціальної та культурної сфери, підтримка та розвиток спорту, медицини, освіти та науки в Україні за рахунок надходжень від проведення азартних ігор в Україні</w:t>
      </w:r>
      <w:r w:rsidR="00760794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.</w:t>
      </w:r>
    </w:p>
    <w:p w14:paraId="5B80AFA8" w14:textId="32B62B9E" w:rsidR="003C50BA" w:rsidRDefault="003C50BA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Зокрема, пунктом 8 </w:t>
      </w:r>
      <w:r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р</w:t>
      </w:r>
      <w:r w:rsidRPr="003C50BA"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озділ</w:t>
      </w:r>
      <w:r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у</w:t>
      </w:r>
      <w:r w:rsidRPr="003C50BA"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XI</w:t>
      </w:r>
      <w:r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«</w:t>
      </w:r>
      <w:r w:rsidRPr="003C50BA"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Прикінцеві та перехідні положення</w:t>
      </w:r>
      <w:r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»</w:t>
      </w:r>
      <w:r w:rsidR="00B702BD"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Закону</w:t>
      </w:r>
      <w:r>
        <w:rPr>
          <w:rFonts w:eastAsia="NSimSun"/>
          <w:bCs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передбачалося </w:t>
      </w:r>
      <w:r w:rsidRPr="003C50BA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спрямування відрахувань коштів, отриманих від ліцензійних платежів у сфері азартних ігор, до Державного фонду підтримки медицини, сп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орту, освіти, культури та науки.</w:t>
      </w:r>
    </w:p>
    <w:p w14:paraId="0D3925BE" w14:textId="08F249C8" w:rsidR="003C50BA" w:rsidRDefault="008711C1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Крім того зазначаємо, </w:t>
      </w:r>
      <w:r w:rsidR="00DA3F59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що</w:t>
      </w:r>
      <w:r w:rsid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статтею 29 Закону України від 0</w:t>
      </w:r>
      <w:r w:rsidR="0089481E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3 листопада 2022 року № 2710</w:t>
      </w:r>
      <w:r w:rsid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-</w:t>
      </w:r>
      <w:r w:rsidR="0089481E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IX </w:t>
      </w:r>
      <w:r w:rsid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«Про </w:t>
      </w:r>
      <w:r w:rsidR="0089481E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Державний бюджет України на 2023 рік</w:t>
      </w:r>
      <w:r w:rsid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» передбачено створення </w:t>
      </w:r>
      <w:r w:rsidR="0089481E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у 2023 році фонд ліквідації наслідків збройної агресії у складі спеціального фонду Державного бюджету України</w:t>
      </w:r>
      <w:r w:rsid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r w:rsidR="0089481E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з метою ліквідації наслідків (у тому числі гуманітарних, соціальних, економічних), спричинених збройною агресією </w:t>
      </w:r>
      <w:r w:rsidR="008E7E78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російської федерації </w:t>
      </w:r>
      <w:r w:rsidR="0089481E"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проти України</w:t>
      </w:r>
      <w:r w:rsidR="0089481E">
        <w:rPr>
          <w:sz w:val="28"/>
          <w:szCs w:val="28"/>
        </w:rPr>
        <w:t>.</w:t>
      </w:r>
    </w:p>
    <w:p w14:paraId="0A63E2DC" w14:textId="613E20C8" w:rsidR="008E7E78" w:rsidRDefault="008E7E78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>
        <w:rPr>
          <w:sz w:val="28"/>
          <w:szCs w:val="28"/>
        </w:rPr>
        <w:t>Оскільки відповідно до пункту 5</w:t>
      </w:r>
      <w:r w:rsidRPr="008E7E7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частини третьої статті 29 Бюджетного кодексу України </w:t>
      </w:r>
      <w:r w:rsidRPr="008E7E78">
        <w:rPr>
          <w:sz w:val="28"/>
          <w:szCs w:val="28"/>
        </w:rPr>
        <w:t>плата за ліцензії на провадження діяльності у сфері організації та проведення азартних ігор і за ліцензії на випуск та проведення лотерей</w:t>
      </w:r>
      <w:r>
        <w:rPr>
          <w:sz w:val="28"/>
          <w:szCs w:val="28"/>
        </w:rPr>
        <w:t xml:space="preserve"> є </w:t>
      </w:r>
      <w:r>
        <w:rPr>
          <w:sz w:val="28"/>
          <w:szCs w:val="28"/>
        </w:rPr>
        <w:lastRenderedPageBreak/>
        <w:t xml:space="preserve">одним з джерел </w:t>
      </w:r>
      <w:r w:rsidRPr="008E7E78">
        <w:rPr>
          <w:sz w:val="28"/>
          <w:szCs w:val="28"/>
        </w:rPr>
        <w:t>формування спеціального фонду Державного бюджету України</w:t>
      </w:r>
      <w:r>
        <w:rPr>
          <w:sz w:val="28"/>
          <w:szCs w:val="28"/>
        </w:rPr>
        <w:t xml:space="preserve">, зазначені кошти може бути спрямовано на відновлення України та ліквідацію наслідків збройної агресії </w:t>
      </w:r>
      <w:r w:rsidRPr="0089481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російської федерації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.</w:t>
      </w:r>
    </w:p>
    <w:p w14:paraId="19D05952" w14:textId="00227743" w:rsidR="000626DB" w:rsidRDefault="000626DB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Слід зазначити, що</w:t>
      </w:r>
      <w:r w:rsidRPr="000626DB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з початку повномасштабного вторгнення російської федерації на територію України до КРАІЛ надійшли повідомлення про закриття 23 із 68 наземних гральних закладів від 15 із 19 організаторів азартних ігор. </w:t>
      </w: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Однак</w:t>
      </w:r>
      <w:r w:rsidR="00D278DF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, більшість гральних закладів вже поновило роботу, в тому числі шляхом </w:t>
      </w:r>
      <w:proofErr w:type="spellStart"/>
      <w:r w:rsidR="00D278DF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релокації</w:t>
      </w:r>
      <w:proofErr w:type="spellEnd"/>
      <w:r w:rsidR="00D278DF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, і с</w:t>
      </w:r>
      <w:r w:rsidR="00D278DF" w:rsidRPr="000626DB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таном на </w:t>
      </w:r>
      <w:r w:rsidR="00D278DF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сьогоднішній день в Україні</w:t>
      </w:r>
      <w:r w:rsidRPr="000626DB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працює </w:t>
      </w:r>
      <w:r w:rsidR="00D278DF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53</w:t>
      </w:r>
      <w:r w:rsidRPr="000626DB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гральні заклади</w:t>
      </w:r>
      <w:r w:rsidR="00D278DF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, що складає 78 % від довоєнної кількості закладів</w:t>
      </w:r>
      <w:r w:rsidRPr="000626DB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.</w:t>
      </w:r>
      <w:r w:rsidR="00A00FD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proofErr w:type="spellStart"/>
      <w:r w:rsidR="00A00FD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Інтернет-сегмент</w:t>
      </w:r>
      <w:proofErr w:type="spellEnd"/>
      <w:r w:rsidR="00A00FDE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ринку азартних ігор з початком дії правового режиму воєнного стану не припиняв </w:t>
      </w:r>
      <w:r w:rsidR="00034411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діяльності.</w:t>
      </w:r>
    </w:p>
    <w:p w14:paraId="24AB7898" w14:textId="42D421D6" w:rsidR="008E7E78" w:rsidRPr="0089481E" w:rsidRDefault="00034411" w:rsidP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  <w:r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У зв’язку з викладеним та з</w:t>
      </w:r>
      <w:r w:rsidR="008E7E78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метою забезпечення наповнення спеціального фонду державного бюджету за рахунок</w:t>
      </w:r>
      <w:r w:rsidR="00F71D63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щорічної</w:t>
      </w:r>
      <w:r w:rsidR="00F11A33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плати</w:t>
      </w:r>
      <w:r w:rsidR="008E7E78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r w:rsidR="00F71D63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за ліцензії</w:t>
      </w:r>
      <w:r w:rsidR="00F71D63" w:rsidRPr="00F71D63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r w:rsidR="00F71D63" w:rsidRPr="008E7E78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у сфері з організації та проведення азартних ігор</w:t>
      </w:r>
      <w:r w:rsidR="00F71D63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, в тому числі </w:t>
      </w:r>
      <w:r w:rsidR="008E7E78" w:rsidRPr="008E7E78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плати за другий рік дії ліцензій</w:t>
      </w:r>
      <w:r w:rsidR="00F71D63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,</w:t>
      </w:r>
      <w:r w:rsidR="008E7E78" w:rsidRPr="008E7E78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 xml:space="preserve"> </w:t>
      </w:r>
      <w:r w:rsidR="008E7E78">
        <w:rPr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  <w:t>КРАІЛ розроблено проєкт постанови.</w:t>
      </w:r>
    </w:p>
    <w:p w14:paraId="1712713D" w14:textId="77777777" w:rsidR="006A38C7" w:rsidRPr="00FF2C00" w:rsidRDefault="006A38C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rStyle w:val="rvts9"/>
          <w:rFonts w:eastAsia="NSimSun"/>
          <w:kern w:val="2"/>
          <w:sz w:val="28"/>
          <w:szCs w:val="28"/>
          <w:highlight w:val="white"/>
          <w:shd w:val="clear" w:color="auto" w:fill="FFFFFF"/>
          <w:lang w:eastAsia="zh-CN" w:bidi="hi-IN"/>
        </w:rPr>
      </w:pPr>
    </w:p>
    <w:p w14:paraId="02707311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t>3. Основні положення проєкту акта</w:t>
      </w:r>
    </w:p>
    <w:p w14:paraId="1C22CF55" w14:textId="796E5948" w:rsidR="002059B2" w:rsidRDefault="002059B2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ru-RU"/>
        </w:rPr>
      </w:pPr>
      <w:bookmarkStart w:id="2" w:name="n1981"/>
      <w:bookmarkEnd w:id="2"/>
      <w:r w:rsidRPr="002059B2">
        <w:rPr>
          <w:sz w:val="28"/>
          <w:szCs w:val="28"/>
          <w:lang w:eastAsia="ru-RU"/>
        </w:rPr>
        <w:t>Про</w:t>
      </w:r>
      <w:r w:rsidR="00B765EE">
        <w:rPr>
          <w:sz w:val="28"/>
          <w:szCs w:val="28"/>
          <w:lang w:eastAsia="ru-RU"/>
        </w:rPr>
        <w:t>є</w:t>
      </w:r>
      <w:r w:rsidRPr="002059B2">
        <w:rPr>
          <w:sz w:val="28"/>
          <w:szCs w:val="28"/>
          <w:lang w:eastAsia="ru-RU"/>
        </w:rPr>
        <w:t xml:space="preserve">ктом </w:t>
      </w:r>
      <w:r w:rsidR="008E7E78">
        <w:rPr>
          <w:sz w:val="28"/>
          <w:szCs w:val="28"/>
          <w:lang w:eastAsia="ru-RU"/>
        </w:rPr>
        <w:t>постанови</w:t>
      </w:r>
      <w:r w:rsidRPr="002059B2">
        <w:rPr>
          <w:sz w:val="28"/>
          <w:szCs w:val="28"/>
          <w:lang w:eastAsia="ru-RU"/>
        </w:rPr>
        <w:t xml:space="preserve"> пропонується</w:t>
      </w:r>
      <w:r w:rsidR="00BC4234" w:rsidRPr="00BC4234">
        <w:rPr>
          <w:sz w:val="28"/>
          <w:szCs w:val="28"/>
          <w:lang w:eastAsia="ru-RU"/>
        </w:rPr>
        <w:t xml:space="preserve"> </w:t>
      </w:r>
      <w:r w:rsidR="00BC4234">
        <w:rPr>
          <w:sz w:val="28"/>
          <w:szCs w:val="28"/>
          <w:lang w:eastAsia="ru-RU"/>
        </w:rPr>
        <w:t>внести зміни</w:t>
      </w:r>
      <w:r w:rsidR="00244746">
        <w:rPr>
          <w:sz w:val="28"/>
          <w:szCs w:val="28"/>
          <w:lang w:eastAsia="ru-RU"/>
        </w:rPr>
        <w:t xml:space="preserve"> до</w:t>
      </w:r>
      <w:r w:rsidR="00BC4234">
        <w:rPr>
          <w:sz w:val="28"/>
          <w:szCs w:val="28"/>
          <w:lang w:eastAsia="ru-RU"/>
        </w:rPr>
        <w:t xml:space="preserve"> </w:t>
      </w:r>
      <w:r w:rsidR="00244746">
        <w:rPr>
          <w:sz w:val="28"/>
          <w:szCs w:val="28"/>
          <w:lang w:eastAsia="ru-RU"/>
        </w:rPr>
        <w:t xml:space="preserve">Постанови </w:t>
      </w:r>
      <w:r w:rsidR="008E7E78">
        <w:rPr>
          <w:sz w:val="28"/>
          <w:szCs w:val="28"/>
          <w:lang w:eastAsia="ru-RU"/>
        </w:rPr>
        <w:t>№ 314</w:t>
      </w:r>
      <w:r w:rsidR="00DA23F8">
        <w:rPr>
          <w:sz w:val="28"/>
          <w:szCs w:val="28"/>
          <w:lang w:eastAsia="uk-UA"/>
        </w:rPr>
        <w:t xml:space="preserve">, </w:t>
      </w:r>
      <w:r w:rsidR="00BC4234">
        <w:rPr>
          <w:sz w:val="28"/>
          <w:szCs w:val="28"/>
          <w:lang w:eastAsia="ru-RU"/>
        </w:rPr>
        <w:t>передбачи</w:t>
      </w:r>
      <w:r w:rsidR="00DA23F8">
        <w:rPr>
          <w:sz w:val="28"/>
          <w:szCs w:val="28"/>
          <w:lang w:eastAsia="ru-RU"/>
        </w:rPr>
        <w:t>вш</w:t>
      </w:r>
      <w:r w:rsidR="00BC4234">
        <w:rPr>
          <w:sz w:val="28"/>
          <w:szCs w:val="28"/>
          <w:lang w:eastAsia="ru-RU"/>
        </w:rPr>
        <w:t>и</w:t>
      </w:r>
      <w:r w:rsidR="008E7E78">
        <w:rPr>
          <w:sz w:val="28"/>
          <w:szCs w:val="28"/>
          <w:lang w:eastAsia="ru-RU"/>
        </w:rPr>
        <w:t>, що дія п</w:t>
      </w:r>
      <w:r w:rsidR="008E7E78" w:rsidRPr="008E7E78">
        <w:rPr>
          <w:sz w:val="28"/>
          <w:szCs w:val="28"/>
          <w:lang w:eastAsia="ru-RU"/>
        </w:rPr>
        <w:t>ідпункт</w:t>
      </w:r>
      <w:r w:rsidR="008E7E78">
        <w:rPr>
          <w:sz w:val="28"/>
          <w:szCs w:val="28"/>
          <w:lang w:eastAsia="ru-RU"/>
        </w:rPr>
        <w:t>у</w:t>
      </w:r>
      <w:r w:rsidR="008E7E78" w:rsidRPr="008E7E78">
        <w:rPr>
          <w:sz w:val="28"/>
          <w:szCs w:val="28"/>
          <w:lang w:eastAsia="ru-RU"/>
        </w:rPr>
        <w:t xml:space="preserve"> 5 пункту 1 </w:t>
      </w:r>
      <w:r w:rsidR="008E7E78">
        <w:rPr>
          <w:sz w:val="28"/>
          <w:szCs w:val="28"/>
          <w:lang w:eastAsia="ru-RU"/>
        </w:rPr>
        <w:t>цієї п</w:t>
      </w:r>
      <w:r w:rsidR="008E7E78" w:rsidRPr="008E7E78">
        <w:rPr>
          <w:sz w:val="28"/>
          <w:szCs w:val="28"/>
          <w:lang w:eastAsia="ru-RU"/>
        </w:rPr>
        <w:t>останови</w:t>
      </w:r>
      <w:r w:rsidR="008E7E78">
        <w:rPr>
          <w:sz w:val="28"/>
          <w:szCs w:val="28"/>
          <w:lang w:eastAsia="ru-RU"/>
        </w:rPr>
        <w:t xml:space="preserve"> не поширюється на сферу організації та проведення азартних ігор в частині автоматичного продовження строку дії ліцензій та відстрочення чергових платежів за них </w:t>
      </w:r>
      <w:r w:rsidR="008E7E78" w:rsidRPr="008E7E78">
        <w:rPr>
          <w:sz w:val="28"/>
          <w:szCs w:val="28"/>
          <w:lang w:eastAsia="ru-RU"/>
        </w:rPr>
        <w:t>на період воєнного стану та три місяці з дня його припинення чи скасування</w:t>
      </w:r>
      <w:r w:rsidR="008E7E78">
        <w:rPr>
          <w:sz w:val="28"/>
          <w:szCs w:val="28"/>
          <w:lang w:eastAsia="ru-RU"/>
        </w:rPr>
        <w:t>.</w:t>
      </w:r>
    </w:p>
    <w:p w14:paraId="4BF9D358" w14:textId="77777777" w:rsidR="00900893" w:rsidRPr="00FF2C00" w:rsidRDefault="00900893" w:rsidP="00844672">
      <w:pPr>
        <w:suppressAutoHyphens/>
        <w:ind w:firstLine="709"/>
        <w:jc w:val="both"/>
        <w:rPr>
          <w:sz w:val="28"/>
          <w:szCs w:val="28"/>
          <w:lang w:eastAsia="ru-RU"/>
        </w:rPr>
      </w:pPr>
    </w:p>
    <w:p w14:paraId="4A2DBBBF" w14:textId="77777777" w:rsidR="00335710" w:rsidRPr="002B4AAA" w:rsidRDefault="00741837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2B4A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578873FD" w14:textId="77777777" w:rsidR="000C6F4B" w:rsidRDefault="000C6F4B">
      <w:pPr>
        <w:pStyle w:val="af"/>
        <w:suppressAutoHyphens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0C6F4B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14:paraId="42DFC491" w14:textId="2BC7E81A" w:rsidR="000C6F4B" w:rsidRDefault="000F12D7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Закон України </w:t>
      </w:r>
      <w:r w:rsidR="000C6F4B" w:rsidRPr="000C6F4B">
        <w:rPr>
          <w:sz w:val="28"/>
          <w:szCs w:val="28"/>
          <w:lang w:eastAsia="uk-UA"/>
        </w:rPr>
        <w:t>«Про державне регулювання діяльності щодо організації та проведення азартних ігор»</w:t>
      </w:r>
      <w:r w:rsidR="000C6F4B">
        <w:rPr>
          <w:sz w:val="28"/>
          <w:szCs w:val="28"/>
          <w:lang w:eastAsia="uk-UA"/>
        </w:rPr>
        <w:t>;</w:t>
      </w:r>
    </w:p>
    <w:p w14:paraId="6E01C8FF" w14:textId="1B33A1D6" w:rsidR="00DA23F8" w:rsidRDefault="00DA23F8" w:rsidP="00DA23F8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DA23F8">
        <w:rPr>
          <w:sz w:val="28"/>
          <w:szCs w:val="28"/>
          <w:lang w:eastAsia="uk-UA"/>
        </w:rPr>
        <w:t xml:space="preserve">Закон України </w:t>
      </w:r>
      <w:r>
        <w:rPr>
          <w:sz w:val="28"/>
          <w:szCs w:val="28"/>
          <w:lang w:eastAsia="uk-UA"/>
        </w:rPr>
        <w:t>«</w:t>
      </w:r>
      <w:r w:rsidRPr="00DA23F8">
        <w:rPr>
          <w:sz w:val="28"/>
          <w:szCs w:val="28"/>
          <w:lang w:eastAsia="uk-UA"/>
        </w:rPr>
        <w:t>Про правовий режим воєнного стану</w:t>
      </w:r>
      <w:r>
        <w:rPr>
          <w:sz w:val="28"/>
          <w:szCs w:val="28"/>
          <w:lang w:eastAsia="uk-UA"/>
        </w:rPr>
        <w:t>»</w:t>
      </w:r>
      <w:r w:rsidRPr="00DA23F8">
        <w:rPr>
          <w:sz w:val="28"/>
          <w:szCs w:val="28"/>
          <w:lang w:eastAsia="uk-UA"/>
        </w:rPr>
        <w:t>;</w:t>
      </w:r>
    </w:p>
    <w:p w14:paraId="12BC1DB5" w14:textId="128648BC" w:rsidR="0027134E" w:rsidRDefault="00DA23F8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DA23F8">
        <w:rPr>
          <w:sz w:val="28"/>
          <w:szCs w:val="28"/>
          <w:lang w:eastAsia="uk-UA"/>
        </w:rPr>
        <w:t>Указ Президента України від 24</w:t>
      </w:r>
      <w:r w:rsidR="00B21244">
        <w:rPr>
          <w:sz w:val="28"/>
          <w:szCs w:val="28"/>
          <w:lang w:eastAsia="uk-UA"/>
        </w:rPr>
        <w:t xml:space="preserve"> лютого </w:t>
      </w:r>
      <w:r w:rsidRPr="00DA23F8">
        <w:rPr>
          <w:sz w:val="28"/>
          <w:szCs w:val="28"/>
          <w:lang w:eastAsia="uk-UA"/>
        </w:rPr>
        <w:t xml:space="preserve">2022 </w:t>
      </w:r>
      <w:r w:rsidR="00B21244">
        <w:rPr>
          <w:sz w:val="28"/>
          <w:szCs w:val="28"/>
          <w:lang w:eastAsia="uk-UA"/>
        </w:rPr>
        <w:t xml:space="preserve">року </w:t>
      </w:r>
      <w:r w:rsidRPr="00DA23F8">
        <w:rPr>
          <w:sz w:val="28"/>
          <w:szCs w:val="28"/>
          <w:lang w:eastAsia="uk-UA"/>
        </w:rPr>
        <w:t xml:space="preserve">№ 64 </w:t>
      </w:r>
      <w:r>
        <w:rPr>
          <w:sz w:val="28"/>
          <w:szCs w:val="28"/>
          <w:lang w:eastAsia="uk-UA"/>
        </w:rPr>
        <w:t>«</w:t>
      </w:r>
      <w:r w:rsidRPr="00DA23F8">
        <w:rPr>
          <w:sz w:val="28"/>
          <w:szCs w:val="28"/>
          <w:lang w:eastAsia="uk-UA"/>
        </w:rPr>
        <w:t>Про введення воєнного</w:t>
      </w:r>
      <w:r>
        <w:rPr>
          <w:sz w:val="28"/>
          <w:szCs w:val="28"/>
          <w:lang w:eastAsia="uk-UA"/>
        </w:rPr>
        <w:t xml:space="preserve"> с</w:t>
      </w:r>
      <w:r w:rsidRPr="00DA23F8">
        <w:rPr>
          <w:sz w:val="28"/>
          <w:szCs w:val="28"/>
          <w:lang w:eastAsia="uk-UA"/>
        </w:rPr>
        <w:t>тану в Україні</w:t>
      </w:r>
      <w:r>
        <w:rPr>
          <w:sz w:val="28"/>
          <w:szCs w:val="28"/>
          <w:lang w:eastAsia="uk-UA"/>
        </w:rPr>
        <w:t>»</w:t>
      </w:r>
      <w:r w:rsidR="00F231B9">
        <w:rPr>
          <w:sz w:val="28"/>
          <w:szCs w:val="28"/>
          <w:lang w:eastAsia="uk-UA"/>
        </w:rPr>
        <w:t xml:space="preserve">, </w:t>
      </w:r>
      <w:r w:rsidR="00F231B9" w:rsidRPr="00F231B9">
        <w:rPr>
          <w:sz w:val="28"/>
          <w:szCs w:val="28"/>
          <w:lang w:eastAsia="uk-UA"/>
        </w:rPr>
        <w:t>затверджен</w:t>
      </w:r>
      <w:r w:rsidR="00F231B9">
        <w:rPr>
          <w:sz w:val="28"/>
          <w:szCs w:val="28"/>
          <w:lang w:eastAsia="uk-UA"/>
        </w:rPr>
        <w:t>ий</w:t>
      </w:r>
      <w:r w:rsidR="00F231B9" w:rsidRPr="00F231B9">
        <w:rPr>
          <w:sz w:val="28"/>
          <w:szCs w:val="28"/>
          <w:lang w:eastAsia="uk-UA"/>
        </w:rPr>
        <w:t xml:space="preserve"> Законом України «Про затвердження Указу Президента України «Про введення воєнного стану в Україні»</w:t>
      </w:r>
      <w:r w:rsidR="0071420B">
        <w:rPr>
          <w:sz w:val="28"/>
          <w:szCs w:val="28"/>
          <w:lang w:eastAsia="uk-UA"/>
        </w:rPr>
        <w:t>;</w:t>
      </w:r>
      <w:r w:rsidR="0027134E">
        <w:rPr>
          <w:sz w:val="28"/>
          <w:szCs w:val="28"/>
          <w:lang w:eastAsia="uk-UA"/>
        </w:rPr>
        <w:t xml:space="preserve"> </w:t>
      </w:r>
    </w:p>
    <w:p w14:paraId="779C2B8A" w14:textId="50E40833" w:rsidR="008E7E78" w:rsidRDefault="008E7E78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Постанова Кабінету Міністрів України </w:t>
      </w:r>
      <w:r w:rsidRPr="008E7E78">
        <w:rPr>
          <w:sz w:val="28"/>
          <w:szCs w:val="28"/>
          <w:lang w:eastAsia="uk-UA"/>
        </w:rPr>
        <w:t>від 18 березня 2022</w:t>
      </w:r>
      <w:r w:rsidR="00C01B10">
        <w:rPr>
          <w:sz w:val="28"/>
          <w:szCs w:val="28"/>
          <w:lang w:eastAsia="uk-UA"/>
        </w:rPr>
        <w:t xml:space="preserve"> року</w:t>
      </w:r>
      <w:r w:rsidRPr="008E7E78">
        <w:rPr>
          <w:sz w:val="28"/>
          <w:szCs w:val="28"/>
          <w:lang w:eastAsia="uk-UA"/>
        </w:rPr>
        <w:t xml:space="preserve"> № 314 «Деякі питання забезпечення провадження господарської діяльності в умовах воєнного стану»</w:t>
      </w:r>
      <w:r>
        <w:rPr>
          <w:sz w:val="28"/>
          <w:szCs w:val="28"/>
          <w:lang w:eastAsia="uk-UA"/>
        </w:rPr>
        <w:t>;</w:t>
      </w:r>
    </w:p>
    <w:p w14:paraId="66B02E28" w14:textId="55CC63A6" w:rsidR="003D3CC5" w:rsidRDefault="0071420B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71420B">
        <w:rPr>
          <w:sz w:val="28"/>
          <w:szCs w:val="28"/>
          <w:lang w:eastAsia="uk-UA"/>
        </w:rPr>
        <w:t>Положення про Комісію з регулювання азартних ігор та лотерей, затверджен</w:t>
      </w:r>
      <w:r>
        <w:rPr>
          <w:sz w:val="28"/>
          <w:szCs w:val="28"/>
          <w:lang w:eastAsia="uk-UA"/>
        </w:rPr>
        <w:t>е</w:t>
      </w:r>
      <w:r w:rsidRPr="0071420B">
        <w:rPr>
          <w:sz w:val="28"/>
          <w:szCs w:val="28"/>
          <w:lang w:eastAsia="uk-UA"/>
        </w:rPr>
        <w:t xml:space="preserve"> постановою Кабінету Міністрів України від 23 вересня 2020 року № 891</w:t>
      </w:r>
      <w:r w:rsidR="000C6F4B">
        <w:rPr>
          <w:sz w:val="28"/>
          <w:szCs w:val="28"/>
          <w:lang w:eastAsia="uk-UA"/>
        </w:rPr>
        <w:t>.</w:t>
      </w:r>
    </w:p>
    <w:p w14:paraId="021539F1" w14:textId="77777777" w:rsidR="00A5730D" w:rsidRPr="00FF2C00" w:rsidRDefault="00A5730D" w:rsidP="00DA23F8">
      <w:pPr>
        <w:pStyle w:val="af"/>
        <w:suppressAutoHyphens/>
        <w:ind w:left="0" w:firstLine="709"/>
        <w:jc w:val="both"/>
        <w:rPr>
          <w:sz w:val="28"/>
          <w:szCs w:val="28"/>
          <w:lang w:eastAsia="uk-UA"/>
        </w:rPr>
      </w:pPr>
    </w:p>
    <w:p w14:paraId="45E82F29" w14:textId="77777777" w:rsidR="00335710" w:rsidRPr="002B4AAA" w:rsidRDefault="00741837">
      <w:pPr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14:paraId="2172AE98" w14:textId="6D472344" w:rsidR="00335710" w:rsidRPr="002B4AAA" w:rsidRDefault="00921A9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921A97">
        <w:rPr>
          <w:rFonts w:eastAsia="Times New Roman"/>
          <w:sz w:val="28"/>
          <w:szCs w:val="28"/>
        </w:rPr>
        <w:t>Реалізація про</w:t>
      </w:r>
      <w:r w:rsidR="00B765EE">
        <w:rPr>
          <w:rFonts w:eastAsia="Times New Roman"/>
          <w:sz w:val="28"/>
          <w:szCs w:val="28"/>
        </w:rPr>
        <w:t>є</w:t>
      </w:r>
      <w:r w:rsidRPr="00921A97">
        <w:rPr>
          <w:rFonts w:eastAsia="Times New Roman"/>
          <w:sz w:val="28"/>
          <w:szCs w:val="28"/>
        </w:rPr>
        <w:t xml:space="preserve">кту </w:t>
      </w:r>
      <w:r w:rsidR="00D66290">
        <w:rPr>
          <w:rFonts w:eastAsia="Times New Roman"/>
          <w:sz w:val="28"/>
          <w:szCs w:val="28"/>
        </w:rPr>
        <w:t>постанови</w:t>
      </w:r>
      <w:r w:rsidRPr="00921A97">
        <w:rPr>
          <w:rFonts w:eastAsia="Times New Roman"/>
          <w:sz w:val="28"/>
          <w:szCs w:val="28"/>
        </w:rPr>
        <w:t xml:space="preserve"> не потребуватиме додаткових витрат з державного і місцевого бюджетів.</w:t>
      </w:r>
    </w:p>
    <w:p w14:paraId="47A0B0B2" w14:textId="77777777" w:rsidR="00335710" w:rsidRPr="00FF2C00" w:rsidRDefault="00335710">
      <w:pPr>
        <w:suppressAutoHyphens/>
        <w:jc w:val="both"/>
        <w:rPr>
          <w:sz w:val="28"/>
          <w:szCs w:val="28"/>
          <w:lang w:eastAsia="uk-UA"/>
        </w:rPr>
      </w:pPr>
    </w:p>
    <w:p w14:paraId="7AA76E55" w14:textId="77777777" w:rsidR="00335710" w:rsidRPr="002B4AAA" w:rsidRDefault="00741837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2B4AAA">
        <w:rPr>
          <w:rFonts w:eastAsia="Times New Roman"/>
          <w:b/>
          <w:bCs/>
          <w:sz w:val="28"/>
          <w:szCs w:val="28"/>
          <w:lang w:eastAsia="uk-UA"/>
        </w:rPr>
        <w:lastRenderedPageBreak/>
        <w:t>6. Позиція заінтересованих сторін</w:t>
      </w:r>
    </w:p>
    <w:p w14:paraId="60DF0DE3" w14:textId="4D88396A" w:rsidR="00993790" w:rsidRPr="00993790" w:rsidRDefault="00993790" w:rsidP="00993790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993790">
        <w:rPr>
          <w:rFonts w:eastAsia="Times New Roman"/>
          <w:sz w:val="28"/>
          <w:szCs w:val="28"/>
          <w:lang w:eastAsia="uk-UA"/>
        </w:rPr>
        <w:t xml:space="preserve">Проєкт </w:t>
      </w:r>
      <w:r w:rsidR="00D66290">
        <w:rPr>
          <w:rFonts w:eastAsia="Times New Roman"/>
          <w:sz w:val="28"/>
          <w:szCs w:val="28"/>
          <w:lang w:eastAsia="uk-UA"/>
        </w:rPr>
        <w:t>постанови</w:t>
      </w:r>
      <w:r w:rsidR="00D05611"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не стосується питань функціонування місцевого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самоврядування, прав та інтересів територіальних громад, соціально-трудової сфери, прав осіб з інвалідністю,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функціонування і застосування української мови як державної, тому не потребує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погодження з уповноваженими представниками всеукраїнських асоціацій органів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місцевого самоврядування чи відповідними органами місцевого самоврядування,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уповноваженими представниками всеукраїнських профспілок, їх об’єднаннями та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всеукраїнськими об’єднаннями організацій роботодавців, Уповноваженим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Президента України з прав людей з інвалідністю, Урядовим уповноваженим з прав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осіб з інвалідністю та всеукраїнськими громадськими організаціями осіб з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Pr="00993790">
        <w:rPr>
          <w:rFonts w:eastAsia="Times New Roman"/>
          <w:sz w:val="28"/>
          <w:szCs w:val="28"/>
          <w:lang w:eastAsia="uk-UA"/>
        </w:rPr>
        <w:t>інвалідністю, їх спілками, Уповноваженим із захисту державної мови.</w:t>
      </w:r>
    </w:p>
    <w:p w14:paraId="6824ABAF" w14:textId="3184D49E" w:rsidR="00993790" w:rsidRDefault="00993790" w:rsidP="00993790">
      <w:pPr>
        <w:ind w:firstLine="709"/>
        <w:jc w:val="both"/>
        <w:rPr>
          <w:sz w:val="28"/>
          <w:szCs w:val="28"/>
        </w:rPr>
      </w:pPr>
      <w:r w:rsidRPr="002B4AAA">
        <w:rPr>
          <w:sz w:val="28"/>
          <w:szCs w:val="28"/>
        </w:rPr>
        <w:t xml:space="preserve">Проєкт </w:t>
      </w:r>
      <w:r w:rsidR="00D66290">
        <w:rPr>
          <w:sz w:val="28"/>
          <w:szCs w:val="28"/>
        </w:rPr>
        <w:t>постанови</w:t>
      </w:r>
      <w:r w:rsidR="00D05611">
        <w:rPr>
          <w:sz w:val="28"/>
          <w:szCs w:val="28"/>
        </w:rPr>
        <w:t xml:space="preserve"> </w:t>
      </w:r>
      <w:r w:rsidRPr="002B4AAA">
        <w:rPr>
          <w:sz w:val="28"/>
          <w:szCs w:val="28"/>
        </w:rPr>
        <w:t>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5D961818" w14:textId="530B18CE" w:rsidR="006B2461" w:rsidRPr="006B2461" w:rsidRDefault="006B2461" w:rsidP="006B2461">
      <w:pPr>
        <w:suppressAutoHyphens/>
        <w:ind w:firstLine="709"/>
        <w:jc w:val="both"/>
        <w:rPr>
          <w:rFonts w:eastAsia="Times New Roman"/>
          <w:sz w:val="28"/>
          <w:szCs w:val="28"/>
          <w:lang w:eastAsia="uk-UA"/>
        </w:rPr>
      </w:pPr>
      <w:bookmarkStart w:id="3" w:name="n1990"/>
      <w:bookmarkStart w:id="4" w:name="n1992"/>
      <w:bookmarkStart w:id="5" w:name="n1993"/>
      <w:bookmarkStart w:id="6" w:name="n1994"/>
      <w:bookmarkStart w:id="7" w:name="n1997"/>
      <w:bookmarkEnd w:id="3"/>
      <w:bookmarkEnd w:id="4"/>
      <w:bookmarkEnd w:id="5"/>
      <w:bookmarkEnd w:id="6"/>
      <w:bookmarkEnd w:id="7"/>
      <w:r w:rsidRPr="006B2461">
        <w:rPr>
          <w:rFonts w:eastAsia="Times New Roman"/>
          <w:sz w:val="28"/>
          <w:szCs w:val="28"/>
          <w:lang w:eastAsia="uk-UA"/>
        </w:rPr>
        <w:t>Проєкт потребує погодження з Міністерством цифрової трансформації України, Міністерством фінансів України, Міністерством економіки України, Міністерством юстиції України, Національним агентством з питань запобігання корупції</w:t>
      </w:r>
      <w:r>
        <w:rPr>
          <w:rFonts w:eastAsia="Times New Roman"/>
          <w:sz w:val="28"/>
          <w:szCs w:val="28"/>
          <w:lang w:eastAsia="uk-UA"/>
        </w:rPr>
        <w:t>, а також направлення до Державної регуляторної служби України з метою отримання висновку щодо віднесення до категорії регуляторних актів відповідно до вимог Закону України «Про засади державної регуляторної політики»</w:t>
      </w:r>
      <w:bookmarkStart w:id="8" w:name="_GoBack"/>
      <w:bookmarkEnd w:id="8"/>
      <w:r w:rsidRPr="006B2461">
        <w:rPr>
          <w:rFonts w:eastAsia="Times New Roman"/>
          <w:sz w:val="28"/>
          <w:szCs w:val="28"/>
          <w:lang w:eastAsia="uk-UA"/>
        </w:rPr>
        <w:t>.</w:t>
      </w:r>
    </w:p>
    <w:p w14:paraId="4AB90BBE" w14:textId="77777777" w:rsidR="00335710" w:rsidRPr="00FF2C00" w:rsidRDefault="00335710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4937112F" w14:textId="77777777" w:rsidR="0071420B" w:rsidRDefault="0074183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b/>
          <w:color w:val="333333"/>
          <w:sz w:val="28"/>
          <w:szCs w:val="28"/>
        </w:rPr>
        <w:t>7. Оцінка відповідності</w:t>
      </w:r>
    </w:p>
    <w:p w14:paraId="0FFC0738" w14:textId="68E25965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У про</w:t>
      </w:r>
      <w:r w:rsidR="00B765EE">
        <w:rPr>
          <w:rFonts w:eastAsia="Times New Roman"/>
          <w:sz w:val="28"/>
          <w:szCs w:val="28"/>
        </w:rPr>
        <w:t>є</w:t>
      </w:r>
      <w:r w:rsidRPr="00921A97">
        <w:rPr>
          <w:rFonts w:eastAsia="Times New Roman"/>
          <w:sz w:val="28"/>
          <w:szCs w:val="28"/>
        </w:rPr>
        <w:t xml:space="preserve">кті </w:t>
      </w:r>
      <w:r w:rsidR="00D66290">
        <w:rPr>
          <w:rFonts w:eastAsia="Times New Roman"/>
          <w:sz w:val="28"/>
          <w:szCs w:val="28"/>
        </w:rPr>
        <w:t>постанови</w:t>
      </w:r>
      <w:r w:rsidRPr="00921A97">
        <w:rPr>
          <w:rFonts w:eastAsia="Times New Roman"/>
          <w:sz w:val="28"/>
          <w:szCs w:val="28"/>
        </w:rPr>
        <w:t xml:space="preserve"> відсутні положення, що: </w:t>
      </w:r>
    </w:p>
    <w:p w14:paraId="2ED6EED9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стосуються зобов’язань України у сфері європейської інтеграції</w:t>
      </w:r>
      <w:r>
        <w:rPr>
          <w:rFonts w:eastAsia="Times New Roman"/>
          <w:sz w:val="28"/>
          <w:szCs w:val="28"/>
        </w:rPr>
        <w:t>;</w:t>
      </w:r>
    </w:p>
    <w:p w14:paraId="65336809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</w:t>
      </w:r>
      <w:r>
        <w:rPr>
          <w:rFonts w:eastAsia="Times New Roman"/>
          <w:sz w:val="28"/>
          <w:szCs w:val="28"/>
        </w:rPr>
        <w:t>;</w:t>
      </w:r>
      <w:r w:rsidRPr="00921A97">
        <w:rPr>
          <w:rFonts w:eastAsia="Times New Roman"/>
          <w:sz w:val="28"/>
          <w:szCs w:val="28"/>
        </w:rPr>
        <w:t xml:space="preserve"> </w:t>
      </w:r>
    </w:p>
    <w:p w14:paraId="2DA81175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впливають на забезпечення рівних прав та можливостей жінок і чоловіків</w:t>
      </w:r>
      <w:r>
        <w:rPr>
          <w:rFonts w:eastAsia="Times New Roman"/>
          <w:sz w:val="28"/>
          <w:szCs w:val="28"/>
        </w:rPr>
        <w:t>;</w:t>
      </w:r>
    </w:p>
    <w:p w14:paraId="57FC024C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</w:t>
      </w:r>
      <w:r>
        <w:rPr>
          <w:rFonts w:eastAsia="Times New Roman"/>
          <w:sz w:val="28"/>
          <w:szCs w:val="28"/>
        </w:rPr>
        <w:t>;</w:t>
      </w:r>
    </w:p>
    <w:p w14:paraId="11E9959E" w14:textId="77777777" w:rsidR="0071420B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 xml:space="preserve">створюють підстави для дискримінації. </w:t>
      </w:r>
    </w:p>
    <w:p w14:paraId="0E22F581" w14:textId="20E1CFB2" w:rsidR="00335710" w:rsidRDefault="00921A97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21A97">
        <w:rPr>
          <w:rFonts w:eastAsia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921A97">
        <w:rPr>
          <w:rFonts w:eastAsia="Times New Roman"/>
          <w:sz w:val="28"/>
          <w:szCs w:val="28"/>
        </w:rPr>
        <w:t>антидискримінаційна</w:t>
      </w:r>
      <w:proofErr w:type="spellEnd"/>
      <w:r w:rsidRPr="00921A97">
        <w:rPr>
          <w:rFonts w:eastAsia="Times New Roman"/>
          <w:sz w:val="28"/>
          <w:szCs w:val="28"/>
        </w:rPr>
        <w:t xml:space="preserve"> та громадська гендерно-правова експертизи не проводилися</w:t>
      </w:r>
      <w:r w:rsidR="00892431">
        <w:rPr>
          <w:rFonts w:eastAsia="Times New Roman"/>
          <w:sz w:val="28"/>
          <w:szCs w:val="28"/>
        </w:rPr>
        <w:t>.</w:t>
      </w:r>
    </w:p>
    <w:p w14:paraId="68452075" w14:textId="77777777" w:rsidR="00AA153D" w:rsidRPr="00FF2C00" w:rsidRDefault="00AA153D" w:rsidP="0071420B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</w:p>
    <w:p w14:paraId="69238D14" w14:textId="77777777" w:rsidR="00335710" w:rsidRPr="002B4AAA" w:rsidRDefault="00741837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</w:p>
    <w:p w14:paraId="48E2286B" w14:textId="2213510A" w:rsidR="009F3DB9" w:rsidRPr="009F3DB9" w:rsidRDefault="009F3DB9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F3DB9">
        <w:rPr>
          <w:rFonts w:eastAsia="Times New Roman"/>
          <w:sz w:val="28"/>
          <w:szCs w:val="28"/>
        </w:rPr>
        <w:t>Прийняття про</w:t>
      </w:r>
      <w:r w:rsidR="00B765EE">
        <w:rPr>
          <w:rFonts w:eastAsia="Times New Roman"/>
          <w:sz w:val="28"/>
          <w:szCs w:val="28"/>
        </w:rPr>
        <w:t>є</w:t>
      </w:r>
      <w:r w:rsidRPr="009F3DB9">
        <w:rPr>
          <w:rFonts w:eastAsia="Times New Roman"/>
          <w:sz w:val="28"/>
          <w:szCs w:val="28"/>
        </w:rPr>
        <w:t xml:space="preserve">кту </w:t>
      </w:r>
      <w:r w:rsidR="00D66290">
        <w:rPr>
          <w:rFonts w:eastAsia="Times New Roman"/>
          <w:sz w:val="28"/>
          <w:szCs w:val="28"/>
        </w:rPr>
        <w:t>постанови</w:t>
      </w:r>
      <w:r w:rsidRPr="009F3DB9">
        <w:rPr>
          <w:rFonts w:eastAsia="Times New Roman"/>
          <w:sz w:val="28"/>
          <w:szCs w:val="28"/>
        </w:rPr>
        <w:t xml:space="preserve"> сприятиме спрямуванню дій Уряду та</w:t>
      </w:r>
      <w:r>
        <w:rPr>
          <w:rFonts w:eastAsia="Times New Roman"/>
          <w:sz w:val="28"/>
          <w:szCs w:val="28"/>
        </w:rPr>
        <w:t xml:space="preserve"> </w:t>
      </w:r>
      <w:r w:rsidRPr="009F3DB9">
        <w:rPr>
          <w:rFonts w:eastAsia="Times New Roman"/>
          <w:sz w:val="28"/>
          <w:szCs w:val="28"/>
        </w:rPr>
        <w:t xml:space="preserve">суб’єктів господарювання на забезпечення </w:t>
      </w:r>
      <w:r>
        <w:rPr>
          <w:rFonts w:eastAsia="Times New Roman"/>
          <w:sz w:val="28"/>
          <w:szCs w:val="28"/>
        </w:rPr>
        <w:t>економічної безпеки</w:t>
      </w:r>
      <w:r w:rsidRPr="009F3DB9">
        <w:rPr>
          <w:rFonts w:eastAsia="Times New Roman"/>
          <w:sz w:val="28"/>
          <w:szCs w:val="28"/>
        </w:rPr>
        <w:t xml:space="preserve"> України в період дії воєнного стану</w:t>
      </w:r>
      <w:r w:rsidR="00F71D63">
        <w:rPr>
          <w:rFonts w:eastAsia="Times New Roman"/>
          <w:sz w:val="28"/>
          <w:szCs w:val="28"/>
        </w:rPr>
        <w:t xml:space="preserve">, </w:t>
      </w:r>
      <w:r w:rsidR="00F71D63" w:rsidRPr="0097531C">
        <w:rPr>
          <w:sz w:val="28"/>
          <w:szCs w:val="28"/>
        </w:rPr>
        <w:t>на відновлення України та ліквідацію наслідків збройної агресії російської федерації</w:t>
      </w:r>
      <w:r w:rsidR="00E35E4B">
        <w:rPr>
          <w:rFonts w:eastAsia="Times New Roman"/>
          <w:sz w:val="28"/>
          <w:szCs w:val="28"/>
        </w:rPr>
        <w:t>.</w:t>
      </w:r>
    </w:p>
    <w:p w14:paraId="40085175" w14:textId="18222D98" w:rsidR="009F3DB9" w:rsidRDefault="009F3DB9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F3DB9">
        <w:rPr>
          <w:rFonts w:eastAsia="Times New Roman"/>
          <w:sz w:val="28"/>
          <w:szCs w:val="28"/>
        </w:rPr>
        <w:t>Реалізація про</w:t>
      </w:r>
      <w:r w:rsidR="00B765EE">
        <w:rPr>
          <w:rFonts w:eastAsia="Times New Roman"/>
          <w:sz w:val="28"/>
          <w:szCs w:val="28"/>
        </w:rPr>
        <w:t>є</w:t>
      </w:r>
      <w:r w:rsidRPr="009F3DB9">
        <w:rPr>
          <w:rFonts w:eastAsia="Times New Roman"/>
          <w:sz w:val="28"/>
          <w:szCs w:val="28"/>
        </w:rPr>
        <w:t xml:space="preserve">кту </w:t>
      </w:r>
      <w:r w:rsidR="00D66290">
        <w:rPr>
          <w:rFonts w:eastAsia="Times New Roman"/>
          <w:sz w:val="28"/>
          <w:szCs w:val="28"/>
        </w:rPr>
        <w:t>постанови</w:t>
      </w:r>
      <w:r w:rsidRPr="009F3DB9">
        <w:rPr>
          <w:rFonts w:eastAsia="Times New Roman"/>
          <w:sz w:val="28"/>
          <w:szCs w:val="28"/>
        </w:rPr>
        <w:t xml:space="preserve"> матиме вплив на інтереси заінтересованих</w:t>
      </w:r>
      <w:r w:rsidR="00E35E4B">
        <w:rPr>
          <w:rFonts w:eastAsia="Times New Roman"/>
          <w:sz w:val="28"/>
          <w:szCs w:val="28"/>
        </w:rPr>
        <w:t xml:space="preserve"> </w:t>
      </w:r>
      <w:r w:rsidRPr="009F3DB9">
        <w:rPr>
          <w:rFonts w:eastAsia="Times New Roman"/>
          <w:sz w:val="28"/>
          <w:szCs w:val="28"/>
        </w:rPr>
        <w:t>сторін:</w:t>
      </w:r>
    </w:p>
    <w:p w14:paraId="29D4E5F7" w14:textId="4ADD0543" w:rsidR="00E35E4B" w:rsidRPr="00E35E4B" w:rsidRDefault="00E35E4B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12"/>
          <w:szCs w:val="12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4677"/>
      </w:tblGrid>
      <w:tr w:rsidR="00E35E4B" w14:paraId="1C975DB8" w14:textId="77777777" w:rsidTr="00F71D63">
        <w:tc>
          <w:tcPr>
            <w:tcW w:w="2127" w:type="dxa"/>
          </w:tcPr>
          <w:p w14:paraId="5F7FD43D" w14:textId="49D1C743" w:rsidR="00E35E4B" w:rsidRPr="00D2603B" w:rsidRDefault="00E35E4B" w:rsidP="00E35E4B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71420B">
              <w:rPr>
                <w:b/>
                <w:bCs/>
                <w:sz w:val="26"/>
                <w:szCs w:val="26"/>
              </w:rPr>
              <w:t>Заінтересована сторона</w:t>
            </w:r>
          </w:p>
        </w:tc>
        <w:tc>
          <w:tcPr>
            <w:tcW w:w="2835" w:type="dxa"/>
          </w:tcPr>
          <w:p w14:paraId="45FE000D" w14:textId="45F70151" w:rsidR="00E35E4B" w:rsidRPr="0071420B" w:rsidRDefault="00E35E4B" w:rsidP="00E35E4B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1420B">
              <w:rPr>
                <w:b/>
                <w:bCs/>
                <w:sz w:val="26"/>
                <w:szCs w:val="26"/>
              </w:rPr>
              <w:t>Вплив реалізації акта на заінтересовану сторону</w:t>
            </w:r>
          </w:p>
        </w:tc>
        <w:tc>
          <w:tcPr>
            <w:tcW w:w="4677" w:type="dxa"/>
          </w:tcPr>
          <w:p w14:paraId="3C54CF09" w14:textId="011CAE5B" w:rsidR="00E35E4B" w:rsidRPr="0071420B" w:rsidRDefault="00E35E4B" w:rsidP="00E35E4B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71420B">
              <w:rPr>
                <w:b/>
                <w:bCs/>
                <w:sz w:val="26"/>
                <w:szCs w:val="26"/>
              </w:rPr>
              <w:t>Пояснення очікуваного впливу</w:t>
            </w:r>
          </w:p>
        </w:tc>
      </w:tr>
      <w:tr w:rsidR="00E35E4B" w14:paraId="6D289619" w14:textId="77777777" w:rsidTr="00F71D63">
        <w:tc>
          <w:tcPr>
            <w:tcW w:w="2127" w:type="dxa"/>
          </w:tcPr>
          <w:p w14:paraId="75F32053" w14:textId="17349503" w:rsidR="00E35E4B" w:rsidRPr="0071420B" w:rsidRDefault="00E35E4B" w:rsidP="0097531C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Суб’єкти господарювання</w:t>
            </w:r>
          </w:p>
        </w:tc>
        <w:tc>
          <w:tcPr>
            <w:tcW w:w="2835" w:type="dxa"/>
          </w:tcPr>
          <w:p w14:paraId="0B2C111C" w14:textId="52CF1F65" w:rsidR="00E35E4B" w:rsidRPr="0071420B" w:rsidRDefault="006807D3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Значний</w:t>
            </w:r>
          </w:p>
        </w:tc>
        <w:tc>
          <w:tcPr>
            <w:tcW w:w="4677" w:type="dxa"/>
          </w:tcPr>
          <w:p w14:paraId="34990383" w14:textId="21E52B9F" w:rsidR="00E35E4B" w:rsidRPr="0071420B" w:rsidRDefault="00D2603B" w:rsidP="00F71D63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організаторами азартних ігор зобов’язань перед державою</w:t>
            </w:r>
            <w:r w:rsidR="00F71D63">
              <w:rPr>
                <w:sz w:val="26"/>
                <w:szCs w:val="26"/>
              </w:rPr>
              <w:t>,</w:t>
            </w:r>
            <w:r w:rsidR="00D02E5A">
              <w:rPr>
                <w:sz w:val="26"/>
                <w:szCs w:val="26"/>
              </w:rPr>
              <w:t xml:space="preserve"> встановлених статтями 49, 52-57</w:t>
            </w:r>
            <w:r w:rsidR="00F71D63">
              <w:rPr>
                <w:sz w:val="26"/>
                <w:szCs w:val="26"/>
              </w:rPr>
              <w:t xml:space="preserve"> Закону</w:t>
            </w:r>
            <w:r>
              <w:rPr>
                <w:sz w:val="26"/>
                <w:szCs w:val="26"/>
              </w:rPr>
              <w:t xml:space="preserve"> в частині с</w:t>
            </w:r>
            <w:r w:rsidRPr="0097531C">
              <w:rPr>
                <w:sz w:val="26"/>
                <w:szCs w:val="26"/>
              </w:rPr>
              <w:t>плат</w:t>
            </w:r>
            <w:r>
              <w:rPr>
                <w:sz w:val="26"/>
                <w:szCs w:val="26"/>
              </w:rPr>
              <w:t>и</w:t>
            </w:r>
            <w:r w:rsidRPr="0097531C">
              <w:rPr>
                <w:sz w:val="26"/>
                <w:szCs w:val="26"/>
              </w:rPr>
              <w:t xml:space="preserve"> за ліцензії на провадження діяльності у сфері організації та проведення азартних ігор</w:t>
            </w:r>
            <w:r>
              <w:rPr>
                <w:sz w:val="26"/>
                <w:szCs w:val="26"/>
              </w:rPr>
              <w:t xml:space="preserve"> в повному обсязі, зокрема з метою </w:t>
            </w:r>
            <w:r w:rsidRPr="00D2603B">
              <w:rPr>
                <w:sz w:val="26"/>
                <w:szCs w:val="26"/>
              </w:rPr>
              <w:t>підтримк</w:t>
            </w:r>
            <w:r>
              <w:rPr>
                <w:sz w:val="26"/>
                <w:szCs w:val="26"/>
              </w:rPr>
              <w:t>и</w:t>
            </w:r>
            <w:r w:rsidRPr="00D2603B">
              <w:rPr>
                <w:sz w:val="26"/>
                <w:szCs w:val="26"/>
              </w:rPr>
              <w:t xml:space="preserve"> економіки України</w:t>
            </w:r>
            <w:r>
              <w:rPr>
                <w:sz w:val="26"/>
                <w:szCs w:val="26"/>
              </w:rPr>
              <w:t xml:space="preserve"> в умовах воєнного стану</w:t>
            </w:r>
            <w:r w:rsidR="00F71D63">
              <w:rPr>
                <w:sz w:val="26"/>
                <w:szCs w:val="26"/>
              </w:rPr>
              <w:t xml:space="preserve">, </w:t>
            </w:r>
            <w:r w:rsidR="00F71D63" w:rsidRPr="00F71D63">
              <w:rPr>
                <w:sz w:val="26"/>
                <w:szCs w:val="26"/>
              </w:rPr>
              <w:t>на відновлення України та ліквідацію наслідків збройної агресії російської федерації</w:t>
            </w:r>
            <w:r w:rsidRPr="00F71D63">
              <w:rPr>
                <w:sz w:val="26"/>
                <w:szCs w:val="26"/>
              </w:rPr>
              <w:t>.</w:t>
            </w:r>
          </w:p>
        </w:tc>
      </w:tr>
      <w:tr w:rsidR="00E35E4B" w14:paraId="192DBF7A" w14:textId="77777777" w:rsidTr="00F71D63">
        <w:tc>
          <w:tcPr>
            <w:tcW w:w="2127" w:type="dxa"/>
          </w:tcPr>
          <w:p w14:paraId="4913314C" w14:textId="012FAD8E" w:rsidR="00E35E4B" w:rsidRPr="0071420B" w:rsidRDefault="00E35E4B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Громадяни</w:t>
            </w:r>
          </w:p>
        </w:tc>
        <w:tc>
          <w:tcPr>
            <w:tcW w:w="2835" w:type="dxa"/>
          </w:tcPr>
          <w:p w14:paraId="0056FFF6" w14:textId="6EF44A8B" w:rsidR="00E35E4B" w:rsidRPr="0071420B" w:rsidRDefault="006807D3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Опосередкований</w:t>
            </w:r>
          </w:p>
        </w:tc>
        <w:tc>
          <w:tcPr>
            <w:tcW w:w="4677" w:type="dxa"/>
          </w:tcPr>
          <w:p w14:paraId="24A6418F" w14:textId="5A4E0EC6" w:rsidR="00E35E4B" w:rsidRPr="0071420B" w:rsidRDefault="008D4F2D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8D4F2D">
              <w:rPr>
                <w:sz w:val="26"/>
                <w:szCs w:val="26"/>
              </w:rPr>
              <w:t>Підтримка розвитку економіки України, соціальної та культурної сфери, підтримка та розвиток спорту, медицини, освіти та науки в Україні за рахунок надходжень від проведення азартних ігор в Україні</w:t>
            </w:r>
            <w:r>
              <w:rPr>
                <w:sz w:val="26"/>
                <w:szCs w:val="26"/>
              </w:rPr>
              <w:t>.</w:t>
            </w:r>
          </w:p>
        </w:tc>
      </w:tr>
      <w:tr w:rsidR="00E35E4B" w14:paraId="28728EC9" w14:textId="77777777" w:rsidTr="00F71D63">
        <w:tc>
          <w:tcPr>
            <w:tcW w:w="2127" w:type="dxa"/>
          </w:tcPr>
          <w:p w14:paraId="0B1779D9" w14:textId="777521A2" w:rsidR="00E35E4B" w:rsidRPr="0071420B" w:rsidRDefault="00E35E4B" w:rsidP="001653A6">
            <w:pPr>
              <w:widowControl w:val="0"/>
              <w:tabs>
                <w:tab w:val="center" w:pos="4819"/>
                <w:tab w:val="right" w:pos="9639"/>
              </w:tabs>
              <w:suppressAutoHyphens/>
              <w:rPr>
                <w:rFonts w:eastAsia="Times New Roman"/>
                <w:sz w:val="26"/>
                <w:szCs w:val="26"/>
              </w:rPr>
            </w:pPr>
            <w:r w:rsidRPr="0071420B">
              <w:rPr>
                <w:sz w:val="26"/>
                <w:szCs w:val="26"/>
              </w:rPr>
              <w:t>Органи державної влади</w:t>
            </w:r>
          </w:p>
        </w:tc>
        <w:tc>
          <w:tcPr>
            <w:tcW w:w="2835" w:type="dxa"/>
          </w:tcPr>
          <w:p w14:paraId="1EAA3B19" w14:textId="2CDCA312" w:rsidR="00E35E4B" w:rsidRPr="0071420B" w:rsidRDefault="006807D3" w:rsidP="009F3DB9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Значний</w:t>
            </w:r>
          </w:p>
        </w:tc>
        <w:tc>
          <w:tcPr>
            <w:tcW w:w="4677" w:type="dxa"/>
          </w:tcPr>
          <w:p w14:paraId="03A9E994" w14:textId="5C86B3FD" w:rsidR="00E35E4B" w:rsidRPr="0071420B" w:rsidRDefault="0097531C" w:rsidP="0097531C">
            <w:pPr>
              <w:widowControl w:val="0"/>
              <w:tabs>
                <w:tab w:val="center" w:pos="4819"/>
                <w:tab w:val="right" w:pos="9639"/>
              </w:tabs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Спрямування додаткових надходжень до </w:t>
            </w:r>
            <w:r w:rsidR="008D4F2D" w:rsidRPr="008D4F2D">
              <w:rPr>
                <w:sz w:val="26"/>
                <w:szCs w:val="26"/>
              </w:rPr>
              <w:t>спеціального фонду Державного бюджету України</w:t>
            </w:r>
            <w:r>
              <w:rPr>
                <w:sz w:val="26"/>
                <w:szCs w:val="26"/>
              </w:rPr>
              <w:t xml:space="preserve"> за рахунок</w:t>
            </w:r>
            <w:r w:rsidR="008D4F2D" w:rsidRPr="008D4F2D">
              <w:rPr>
                <w:sz w:val="26"/>
                <w:szCs w:val="26"/>
              </w:rPr>
              <w:t xml:space="preserve"> </w:t>
            </w:r>
            <w:r w:rsidRPr="0097531C">
              <w:rPr>
                <w:sz w:val="26"/>
                <w:szCs w:val="26"/>
              </w:rPr>
              <w:t>плат</w:t>
            </w:r>
            <w:r>
              <w:rPr>
                <w:sz w:val="26"/>
                <w:szCs w:val="26"/>
              </w:rPr>
              <w:t>и</w:t>
            </w:r>
            <w:r w:rsidRPr="0097531C">
              <w:rPr>
                <w:sz w:val="26"/>
                <w:szCs w:val="26"/>
              </w:rPr>
              <w:t xml:space="preserve"> за ліцензії на провадження діяльності у сфері організації та проведення азартних ігор</w:t>
            </w:r>
            <w:r>
              <w:rPr>
                <w:sz w:val="26"/>
                <w:szCs w:val="26"/>
              </w:rPr>
              <w:t>, які</w:t>
            </w:r>
            <w:r w:rsidRPr="0097531C">
              <w:rPr>
                <w:sz w:val="26"/>
                <w:szCs w:val="26"/>
              </w:rPr>
              <w:t xml:space="preserve"> </w:t>
            </w:r>
            <w:r w:rsidR="008D4F2D" w:rsidRPr="008D4F2D">
              <w:rPr>
                <w:sz w:val="26"/>
                <w:szCs w:val="26"/>
              </w:rPr>
              <w:t>мож</w:t>
            </w:r>
            <w:r>
              <w:rPr>
                <w:sz w:val="26"/>
                <w:szCs w:val="26"/>
              </w:rPr>
              <w:t>уть</w:t>
            </w:r>
            <w:r w:rsidR="008D4F2D" w:rsidRPr="008D4F2D">
              <w:rPr>
                <w:sz w:val="26"/>
                <w:szCs w:val="26"/>
              </w:rPr>
              <w:t xml:space="preserve"> бути спрямован</w:t>
            </w:r>
            <w:r>
              <w:rPr>
                <w:sz w:val="26"/>
                <w:szCs w:val="26"/>
              </w:rPr>
              <w:t>і</w:t>
            </w:r>
            <w:r w:rsidR="008D4F2D" w:rsidRPr="008D4F2D">
              <w:rPr>
                <w:sz w:val="26"/>
                <w:szCs w:val="26"/>
              </w:rPr>
              <w:t xml:space="preserve"> на відновлення України та ліквідацію наслідків збройної агресії російської федерації</w:t>
            </w:r>
            <w:r w:rsidR="00FA17B3">
              <w:rPr>
                <w:sz w:val="26"/>
                <w:szCs w:val="26"/>
              </w:rPr>
              <w:t>.</w:t>
            </w:r>
          </w:p>
        </w:tc>
      </w:tr>
    </w:tbl>
    <w:p w14:paraId="6E945064" w14:textId="77777777" w:rsidR="00E35E4B" w:rsidRPr="00E35E4B" w:rsidRDefault="00E35E4B" w:rsidP="009F3DB9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12"/>
          <w:szCs w:val="12"/>
        </w:rPr>
      </w:pPr>
    </w:p>
    <w:p w14:paraId="13E82A16" w14:textId="0076AB54" w:rsidR="00E55B4F" w:rsidRDefault="00E55B4F" w:rsidP="00E55B4F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E55B4F">
        <w:rPr>
          <w:rFonts w:eastAsia="Times New Roman"/>
          <w:sz w:val="28"/>
          <w:szCs w:val="28"/>
        </w:rPr>
        <w:t xml:space="preserve">Реалізація проєкту </w:t>
      </w:r>
      <w:r w:rsidR="00D66290">
        <w:rPr>
          <w:rFonts w:eastAsia="Times New Roman"/>
          <w:sz w:val="28"/>
          <w:szCs w:val="28"/>
        </w:rPr>
        <w:t>постанови</w:t>
      </w:r>
      <w:r w:rsidR="00D05611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 xml:space="preserve">не матиме впливу </w:t>
      </w:r>
      <w:r w:rsidR="00216B2F">
        <w:rPr>
          <w:rFonts w:eastAsia="Times New Roman"/>
          <w:sz w:val="28"/>
          <w:szCs w:val="28"/>
        </w:rPr>
        <w:t xml:space="preserve">на </w:t>
      </w:r>
      <w:r w:rsidRPr="00E55B4F">
        <w:rPr>
          <w:rFonts w:eastAsia="Times New Roman"/>
          <w:sz w:val="28"/>
          <w:szCs w:val="28"/>
        </w:rPr>
        <w:t>розвиток регіонів, підвищення чи зниження спроможності територіальних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громад; екологію та навколишнє природне</w:t>
      </w:r>
      <w:r w:rsidR="009D2F6A">
        <w:rPr>
          <w:rFonts w:eastAsia="Times New Roman"/>
          <w:sz w:val="28"/>
          <w:szCs w:val="28"/>
        </w:rPr>
        <w:t xml:space="preserve"> </w:t>
      </w:r>
      <w:r w:rsidRPr="00E55B4F">
        <w:rPr>
          <w:rFonts w:eastAsia="Times New Roman"/>
          <w:sz w:val="28"/>
          <w:szCs w:val="28"/>
        </w:rPr>
        <w:t>середовище, обсяг природних ресурсів, інші суспільні відносини.</w:t>
      </w:r>
    </w:p>
    <w:p w14:paraId="2D921016" w14:textId="42DD275C" w:rsidR="00335710" w:rsidRPr="0097531C" w:rsidRDefault="00741837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>Прогноз очі</w:t>
      </w:r>
      <w:r w:rsidR="00394EF2" w:rsidRPr="002B4AAA">
        <w:rPr>
          <w:rFonts w:eastAsia="Times New Roman"/>
          <w:sz w:val="28"/>
          <w:szCs w:val="28"/>
          <w:lang w:eastAsia="uk-UA"/>
        </w:rPr>
        <w:t>куваних результатів реалізації п</w:t>
      </w:r>
      <w:r w:rsidRPr="002B4AAA">
        <w:rPr>
          <w:rFonts w:eastAsia="Times New Roman"/>
          <w:sz w:val="28"/>
          <w:szCs w:val="28"/>
          <w:lang w:eastAsia="uk-UA"/>
        </w:rPr>
        <w:t>роєкту</w:t>
      </w:r>
      <w:r w:rsidR="00D05611">
        <w:rPr>
          <w:rFonts w:eastAsia="Times New Roman"/>
          <w:sz w:val="28"/>
          <w:szCs w:val="28"/>
          <w:lang w:eastAsia="uk-UA"/>
        </w:rPr>
        <w:t xml:space="preserve"> </w:t>
      </w:r>
      <w:r w:rsidR="00D66290">
        <w:rPr>
          <w:rFonts w:eastAsia="Times New Roman"/>
          <w:sz w:val="28"/>
          <w:szCs w:val="28"/>
          <w:lang w:eastAsia="uk-UA"/>
        </w:rPr>
        <w:t>постанови</w:t>
      </w:r>
      <w:r w:rsidRPr="002B4AAA">
        <w:rPr>
          <w:rFonts w:eastAsia="Times New Roman"/>
          <w:sz w:val="28"/>
          <w:szCs w:val="28"/>
          <w:lang w:eastAsia="uk-UA"/>
        </w:rPr>
        <w:t xml:space="preserve"> є позитивним </w:t>
      </w:r>
      <w:r w:rsidR="0097531C">
        <w:rPr>
          <w:rFonts w:eastAsia="Times New Roman"/>
          <w:sz w:val="28"/>
          <w:szCs w:val="28"/>
          <w:lang w:eastAsia="uk-UA"/>
        </w:rPr>
        <w:t>та забезпечить збалансованість інтересів</w:t>
      </w:r>
      <w:r w:rsidRPr="002B4AAA">
        <w:rPr>
          <w:rFonts w:eastAsia="Times New Roman"/>
          <w:sz w:val="28"/>
          <w:szCs w:val="28"/>
          <w:lang w:eastAsia="uk-UA"/>
        </w:rPr>
        <w:t xml:space="preserve"> держави</w:t>
      </w:r>
      <w:r w:rsidR="00EE1FD4">
        <w:rPr>
          <w:rFonts w:eastAsia="Times New Roman"/>
          <w:sz w:val="28"/>
          <w:szCs w:val="28"/>
          <w:lang w:eastAsia="uk-UA"/>
        </w:rPr>
        <w:t>, громадян</w:t>
      </w:r>
      <w:r w:rsidRPr="002B4AAA">
        <w:rPr>
          <w:rFonts w:eastAsia="Times New Roman"/>
          <w:sz w:val="28"/>
          <w:szCs w:val="28"/>
          <w:lang w:eastAsia="uk-UA"/>
        </w:rPr>
        <w:t xml:space="preserve"> </w:t>
      </w:r>
      <w:r w:rsidR="009D2F6A">
        <w:rPr>
          <w:rFonts w:eastAsia="Times New Roman"/>
          <w:sz w:val="28"/>
          <w:szCs w:val="28"/>
          <w:lang w:eastAsia="uk-UA"/>
        </w:rPr>
        <w:t xml:space="preserve">та суб’єктів </w:t>
      </w:r>
      <w:r w:rsidR="00EE1FD4">
        <w:rPr>
          <w:rFonts w:eastAsia="Times New Roman"/>
          <w:sz w:val="28"/>
          <w:szCs w:val="28"/>
          <w:lang w:eastAsia="uk-UA"/>
        </w:rPr>
        <w:t>господарювання</w:t>
      </w:r>
      <w:r w:rsidRPr="002B4AAA">
        <w:rPr>
          <w:rFonts w:eastAsia="Times New Roman"/>
          <w:sz w:val="28"/>
          <w:szCs w:val="28"/>
          <w:lang w:eastAsia="uk-UA"/>
        </w:rPr>
        <w:t xml:space="preserve">, </w:t>
      </w:r>
      <w:r w:rsidR="0097531C">
        <w:rPr>
          <w:rFonts w:eastAsia="Times New Roman"/>
          <w:sz w:val="28"/>
          <w:szCs w:val="28"/>
          <w:lang w:eastAsia="uk-UA"/>
        </w:rPr>
        <w:t xml:space="preserve">оскільки кошти від </w:t>
      </w:r>
      <w:r w:rsidR="0097531C" w:rsidRPr="0097531C">
        <w:rPr>
          <w:sz w:val="28"/>
          <w:szCs w:val="28"/>
        </w:rPr>
        <w:t>плати за ліцензії на провадження діяльності у сфері організації та проведення азартних ігор можуть бути спрямовані на відновлення України та ліквідацію наслідків збройної агресії російської федерації</w:t>
      </w:r>
      <w:r w:rsidRPr="0097531C">
        <w:rPr>
          <w:rFonts w:eastAsia="Times New Roman"/>
          <w:sz w:val="28"/>
          <w:szCs w:val="28"/>
        </w:rPr>
        <w:t>.</w:t>
      </w:r>
    </w:p>
    <w:p w14:paraId="577FEF03" w14:textId="77777777" w:rsidR="00335710" w:rsidRDefault="0033571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151DD53C" w14:textId="77777777" w:rsidR="00FF2C00" w:rsidRPr="002B4AAA" w:rsidRDefault="00FF2C00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14:paraId="424A5E52" w14:textId="24DF243C" w:rsidR="000574F5" w:rsidRDefault="00CE04B8" w:rsidP="00CE04B8">
      <w:pPr>
        <w:tabs>
          <w:tab w:val="left" w:pos="7088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Голова КРАІЛ                                                                     Іван РУДИЙ</w:t>
      </w:r>
    </w:p>
    <w:sectPr w:rsidR="000574F5" w:rsidSect="00E74A48">
      <w:headerReference w:type="default" r:id="rId8"/>
      <w:headerReference w:type="first" r:id="rId9"/>
      <w:pgSz w:w="11906" w:h="16838"/>
      <w:pgMar w:top="1513" w:right="567" w:bottom="1758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CE584" w14:textId="77777777" w:rsidR="005D513E" w:rsidRDefault="005D513E">
      <w:r>
        <w:separator/>
      </w:r>
    </w:p>
  </w:endnote>
  <w:endnote w:type="continuationSeparator" w:id="0">
    <w:p w14:paraId="486C6836" w14:textId="77777777" w:rsidR="005D513E" w:rsidRDefault="005D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4539C" w14:textId="77777777" w:rsidR="005D513E" w:rsidRDefault="005D513E">
      <w:r>
        <w:separator/>
      </w:r>
    </w:p>
  </w:footnote>
  <w:footnote w:type="continuationSeparator" w:id="0">
    <w:p w14:paraId="6C39F2C6" w14:textId="77777777" w:rsidR="005D513E" w:rsidRDefault="005D5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4E860" w14:textId="77777777" w:rsidR="005D513E" w:rsidRDefault="005D513E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6B2461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F4E2" w14:textId="77777777" w:rsidR="005D513E" w:rsidRDefault="005D513E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710"/>
    <w:rsid w:val="000174D4"/>
    <w:rsid w:val="00034411"/>
    <w:rsid w:val="000574F5"/>
    <w:rsid w:val="000626DB"/>
    <w:rsid w:val="00070A7F"/>
    <w:rsid w:val="00071466"/>
    <w:rsid w:val="000C6F4B"/>
    <w:rsid w:val="000F12D7"/>
    <w:rsid w:val="00107A4B"/>
    <w:rsid w:val="00125DFD"/>
    <w:rsid w:val="001653A6"/>
    <w:rsid w:val="001D63FF"/>
    <w:rsid w:val="00204DF6"/>
    <w:rsid w:val="002059B2"/>
    <w:rsid w:val="00216B2F"/>
    <w:rsid w:val="002261E9"/>
    <w:rsid w:val="00244746"/>
    <w:rsid w:val="00251276"/>
    <w:rsid w:val="0027134E"/>
    <w:rsid w:val="002762B7"/>
    <w:rsid w:val="002A5033"/>
    <w:rsid w:val="002A5839"/>
    <w:rsid w:val="002B4AAA"/>
    <w:rsid w:val="002E4C5E"/>
    <w:rsid w:val="00327850"/>
    <w:rsid w:val="00335710"/>
    <w:rsid w:val="0034718D"/>
    <w:rsid w:val="0035470F"/>
    <w:rsid w:val="00363FAD"/>
    <w:rsid w:val="00394EF2"/>
    <w:rsid w:val="003A63FF"/>
    <w:rsid w:val="003C50BA"/>
    <w:rsid w:val="003D3CC5"/>
    <w:rsid w:val="003E3761"/>
    <w:rsid w:val="00451927"/>
    <w:rsid w:val="00456EEC"/>
    <w:rsid w:val="004B7334"/>
    <w:rsid w:val="004D61B0"/>
    <w:rsid w:val="004E57A5"/>
    <w:rsid w:val="004F34B8"/>
    <w:rsid w:val="005266A2"/>
    <w:rsid w:val="00557B20"/>
    <w:rsid w:val="0056649A"/>
    <w:rsid w:val="005D513E"/>
    <w:rsid w:val="005E460A"/>
    <w:rsid w:val="00617C44"/>
    <w:rsid w:val="006302B3"/>
    <w:rsid w:val="00671E17"/>
    <w:rsid w:val="006807D3"/>
    <w:rsid w:val="006A38C7"/>
    <w:rsid w:val="006B2461"/>
    <w:rsid w:val="0071420B"/>
    <w:rsid w:val="00741837"/>
    <w:rsid w:val="00753606"/>
    <w:rsid w:val="00760794"/>
    <w:rsid w:val="007618F8"/>
    <w:rsid w:val="0076653D"/>
    <w:rsid w:val="007F2A0F"/>
    <w:rsid w:val="00815C74"/>
    <w:rsid w:val="00844672"/>
    <w:rsid w:val="008711C1"/>
    <w:rsid w:val="00892431"/>
    <w:rsid w:val="0089481E"/>
    <w:rsid w:val="008D4F2D"/>
    <w:rsid w:val="008E7E78"/>
    <w:rsid w:val="008F6F5F"/>
    <w:rsid w:val="00900893"/>
    <w:rsid w:val="00901B05"/>
    <w:rsid w:val="0090417E"/>
    <w:rsid w:val="00921A97"/>
    <w:rsid w:val="00934E02"/>
    <w:rsid w:val="00943CDF"/>
    <w:rsid w:val="009479CD"/>
    <w:rsid w:val="0097531C"/>
    <w:rsid w:val="00993790"/>
    <w:rsid w:val="009B08A6"/>
    <w:rsid w:val="009D2F6A"/>
    <w:rsid w:val="009F0E19"/>
    <w:rsid w:val="009F3DB9"/>
    <w:rsid w:val="00A00FDE"/>
    <w:rsid w:val="00A06235"/>
    <w:rsid w:val="00A3636A"/>
    <w:rsid w:val="00A40926"/>
    <w:rsid w:val="00A5730D"/>
    <w:rsid w:val="00A72136"/>
    <w:rsid w:val="00A801E5"/>
    <w:rsid w:val="00A84EA2"/>
    <w:rsid w:val="00AA153D"/>
    <w:rsid w:val="00AB4D3B"/>
    <w:rsid w:val="00AD53D1"/>
    <w:rsid w:val="00B13076"/>
    <w:rsid w:val="00B21244"/>
    <w:rsid w:val="00B702BD"/>
    <w:rsid w:val="00B765EE"/>
    <w:rsid w:val="00BA3751"/>
    <w:rsid w:val="00BC4234"/>
    <w:rsid w:val="00BD4AB7"/>
    <w:rsid w:val="00C01B10"/>
    <w:rsid w:val="00C11AA8"/>
    <w:rsid w:val="00C25D41"/>
    <w:rsid w:val="00CB5C8E"/>
    <w:rsid w:val="00CD3F4D"/>
    <w:rsid w:val="00CE04B8"/>
    <w:rsid w:val="00D02E5A"/>
    <w:rsid w:val="00D05611"/>
    <w:rsid w:val="00D2603B"/>
    <w:rsid w:val="00D278DF"/>
    <w:rsid w:val="00D3721B"/>
    <w:rsid w:val="00D604BF"/>
    <w:rsid w:val="00D66290"/>
    <w:rsid w:val="00D87DBD"/>
    <w:rsid w:val="00DA23F8"/>
    <w:rsid w:val="00DA3F59"/>
    <w:rsid w:val="00DC3CCD"/>
    <w:rsid w:val="00DF5016"/>
    <w:rsid w:val="00E35D59"/>
    <w:rsid w:val="00E35E4B"/>
    <w:rsid w:val="00E55B4F"/>
    <w:rsid w:val="00E74A48"/>
    <w:rsid w:val="00EC701A"/>
    <w:rsid w:val="00EE0228"/>
    <w:rsid w:val="00EE1FD4"/>
    <w:rsid w:val="00EE44DB"/>
    <w:rsid w:val="00F11A33"/>
    <w:rsid w:val="00F231B9"/>
    <w:rsid w:val="00F4298B"/>
    <w:rsid w:val="00F47B45"/>
    <w:rsid w:val="00F61406"/>
    <w:rsid w:val="00F66684"/>
    <w:rsid w:val="00F71D63"/>
    <w:rsid w:val="00F801C3"/>
    <w:rsid w:val="00FA17B3"/>
    <w:rsid w:val="00FB0B9B"/>
    <w:rsid w:val="00FB551E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275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0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0"/>
    <w:qFormat/>
    <w:rsid w:val="00507EB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0"/>
    <w:uiPriority w:val="99"/>
    <w:qFormat/>
    <w:rsid w:val="00507EB4"/>
    <w:rPr>
      <w:rFonts w:cs="Times New Roman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qFormat/>
    <w:rsid w:val="00921166"/>
    <w:rPr>
      <w:rFonts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qFormat/>
    <w:rsid w:val="009C1417"/>
    <w:rPr>
      <w:rFonts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aa">
    <w:name w:val="Гіперпосилання"/>
    <w:rPr>
      <w:color w:val="000080"/>
      <w:u w:val="single"/>
    </w:rPr>
  </w:style>
  <w:style w:type="paragraph" w:customStyle="1" w:styleId="1">
    <w:name w:val="Заголовок1"/>
    <w:basedOn w:val="a"/>
    <w:next w:val="a4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26700B"/>
    <w:pPr>
      <w:spacing w:after="140" w:line="276" w:lineRule="auto"/>
    </w:pPr>
  </w:style>
  <w:style w:type="paragraph" w:styleId="ab">
    <w:name w:val="List"/>
    <w:basedOn w:val="a4"/>
    <w:uiPriority w:val="99"/>
    <w:rsid w:val="0026700B"/>
    <w:rPr>
      <w:rFonts w:cs="Arial"/>
    </w:rPr>
  </w:style>
  <w:style w:type="paragraph" w:styleId="ac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table" w:styleId="af3">
    <w:name w:val="Table Grid"/>
    <w:basedOn w:val="a1"/>
    <w:locked/>
    <w:rsid w:val="00E35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FAE9-8E9D-4C0B-9C26-DCB573BE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Кричевська Олена Володимирівна</cp:lastModifiedBy>
  <cp:revision>74</cp:revision>
  <cp:lastPrinted>2022-11-28T12:24:00Z</cp:lastPrinted>
  <dcterms:created xsi:type="dcterms:W3CDTF">2021-10-25T07:50:00Z</dcterms:created>
  <dcterms:modified xsi:type="dcterms:W3CDTF">2022-12-14T12:27:00Z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