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125" w:right="123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Інформація</w:t>
      </w:r>
      <w:r>
        <w:rPr>
          <w:b w:val="1"/>
          <w:sz w:val="26"/>
          <w:szCs w:val="26"/>
          <w:spacing w:val="-6"/>
        </w:rPr>
        <w:t xml:space="preserve"> </w:t>
      </w:r>
      <w:r>
        <w:rPr>
          <w:b w:val="1"/>
          <w:sz w:val="26"/>
          <w:szCs w:val="26"/>
        </w:rPr>
        <w:t>щодо</w:t>
      </w:r>
      <w:r>
        <w:rPr>
          <w:b w:val="1"/>
          <w:sz w:val="26"/>
          <w:szCs w:val="26"/>
          <w:spacing w:val="-6"/>
        </w:rPr>
        <w:t xml:space="preserve"> </w:t>
      </w:r>
      <w:r>
        <w:rPr>
          <w:b w:val="1"/>
          <w:sz w:val="26"/>
          <w:szCs w:val="26"/>
        </w:rPr>
        <w:t>надходжень до державного бюджету коштів за ліцензії, які</w:t>
      </w:r>
      <w:r>
        <w:rPr>
          <w:b w:val="1"/>
          <w:sz w:val="26"/>
          <w:szCs w:val="26"/>
          <w:spacing w:val="-6"/>
        </w:rPr>
        <w:t xml:space="preserve"> </w:t>
      </w:r>
      <w:r>
        <w:rPr>
          <w:b w:val="1"/>
          <w:sz w:val="26"/>
          <w:szCs w:val="26"/>
        </w:rPr>
        <w:t>видано</w:t>
      </w:r>
      <w:r>
        <w:rPr>
          <w:b w:val="1"/>
          <w:sz w:val="26"/>
          <w:szCs w:val="26"/>
          <w:spacing w:val="-8"/>
        </w:rPr>
        <w:t xml:space="preserve"> </w:t>
      </w:r>
      <w:r>
        <w:rPr>
          <w:b w:val="1"/>
          <w:sz w:val="26"/>
          <w:szCs w:val="26"/>
        </w:rPr>
        <w:t>КРАІЛ</w:t>
      </w:r>
      <w:r>
        <w:rPr>
          <w:b w:val="1"/>
          <w:sz w:val="26"/>
          <w:szCs w:val="26"/>
          <w:spacing w:val="-6"/>
        </w:rPr>
        <w:t xml:space="preserve"> </w:t>
      </w:r>
      <w:r>
        <w:rPr>
          <w:b w:val="1"/>
          <w:sz w:val="26"/>
          <w:szCs w:val="26"/>
        </w:rPr>
        <w:t>у</w:t>
      </w:r>
      <w:r>
        <w:rPr>
          <w:b w:val="1"/>
          <w:sz w:val="26"/>
          <w:szCs w:val="26"/>
          <w:spacing w:val="-6"/>
        </w:rPr>
        <w:t xml:space="preserve"> </w:t>
      </w:r>
      <w:r>
        <w:rPr>
          <w:b w:val="1"/>
          <w:sz w:val="26"/>
          <w:szCs w:val="26"/>
        </w:rPr>
        <w:t>сфері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діяльності</w:t>
      </w:r>
      <w:r>
        <w:rPr>
          <w:b w:val="1"/>
          <w:sz w:val="26"/>
          <w:szCs w:val="26"/>
          <w:spacing w:val="-7"/>
        </w:rPr>
        <w:t xml:space="preserve"> </w:t>
      </w:r>
      <w:r>
        <w:rPr>
          <w:b w:val="1"/>
          <w:sz w:val="26"/>
          <w:szCs w:val="26"/>
        </w:rPr>
        <w:t>з</w:t>
      </w:r>
      <w:r>
        <w:rPr>
          <w:b w:val="1"/>
          <w:sz w:val="26"/>
          <w:szCs w:val="26"/>
          <w:spacing w:val="-8"/>
        </w:rPr>
        <w:t xml:space="preserve"> </w:t>
      </w:r>
      <w:r>
        <w:rPr>
          <w:b w:val="1"/>
          <w:sz w:val="26"/>
          <w:szCs w:val="26"/>
        </w:rPr>
        <w:t>організації та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проведення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азартних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ігор,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і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ліцензій</w:t>
      </w:r>
      <w:r>
        <w:rPr>
          <w:b w:val="1"/>
          <w:sz w:val="26"/>
          <w:szCs w:val="26"/>
          <w:spacing w:val="-6"/>
        </w:rPr>
        <w:t xml:space="preserve"> </w:t>
      </w:r>
      <w:r>
        <w:rPr>
          <w:b w:val="1"/>
          <w:sz w:val="26"/>
          <w:szCs w:val="26"/>
        </w:rPr>
        <w:t>на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випуск</w:t>
      </w:r>
      <w:r>
        <w:rPr>
          <w:b w:val="1"/>
          <w:sz w:val="26"/>
          <w:szCs w:val="26"/>
          <w:spacing w:val="-4"/>
        </w:rPr>
        <w:t xml:space="preserve"> </w:t>
      </w:r>
      <w:r>
        <w:rPr>
          <w:b w:val="1"/>
          <w:sz w:val="26"/>
          <w:szCs w:val="26"/>
        </w:rPr>
        <w:t>та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проведення</w:t>
      </w:r>
      <w:r>
        <w:rPr>
          <w:b w:val="1"/>
          <w:sz w:val="26"/>
          <w:szCs w:val="26"/>
          <w:spacing w:val="-5"/>
        </w:rPr>
        <w:t xml:space="preserve"> </w:t>
      </w:r>
      <w:r>
        <w:rPr>
          <w:b w:val="1"/>
          <w:sz w:val="26"/>
          <w:szCs w:val="26"/>
        </w:rPr>
        <w:t>лотерей, а також сплачених штрафних (фінансових) санкцій за січень – березень 2024 року</w:t>
      </w:r>
    </w:p>
    <w:p>
      <w:pPr>
        <w:pStyle w:val="P1"/>
        <w:spacing w:before="1" w:beforeAutospacing="0" w:afterAutospacing="0"/>
        <w:rPr>
          <w:b w:val="1"/>
        </w:rPr>
      </w:pPr>
    </w:p>
    <w:p>
      <w:pPr>
        <w:pStyle w:val="P1"/>
        <w:ind w:firstLine="566" w:right="101"/>
        <w:jc w:val="both"/>
      </w:pPr>
      <w:r>
        <w:t>За січень – березень 2024 року загальна сума надходжень до державного бюджету коштів становить</w:t>
      </w:r>
      <w:r>
        <w:rPr>
          <w:spacing w:val="-3"/>
        </w:rPr>
        <w:t xml:space="preserve"> 205 182,6742 </w:t>
      </w:r>
      <w:r>
        <w:t>тис.</w:t>
      </w:r>
      <w:r>
        <w:rPr>
          <w:spacing w:val="-3"/>
        </w:rPr>
        <w:t xml:space="preserve"> </w:t>
      </w:r>
      <w:r>
        <w:t>грн,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них:</w:t>
      </w:r>
      <w:r>
        <w:rPr>
          <w:spacing w:val="-5"/>
        </w:rPr>
        <w:t>168 090</w:t>
      </w:r>
      <w:r>
        <w:t>,00</w:t>
      </w:r>
      <w:r>
        <w:rPr>
          <w:spacing w:val="-3"/>
        </w:rPr>
        <w:t xml:space="preserve"> </w:t>
      </w:r>
      <w:r>
        <w:t>тис.</w:t>
      </w:r>
      <w:r>
        <w:rPr>
          <w:spacing w:val="-3"/>
        </w:rPr>
        <w:t xml:space="preserve"> </w:t>
      </w:r>
      <w:r>
        <w:t>грн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ліцензії</w:t>
      </w:r>
      <w:r>
        <w:rPr>
          <w:spacing w:val="-5"/>
        </w:rPr>
        <w:t xml:space="preserve"> </w:t>
      </w:r>
      <w:r>
        <w:t>на провадження діяльності з організації та проведення азартних ігор; 27 349,7 тис. грн за ліцензії на</w:t>
      </w:r>
      <w:r>
        <w:rPr>
          <w:spacing w:val="1"/>
        </w:rPr>
        <w:t xml:space="preserve"> </w:t>
      </w:r>
      <w:r>
        <w:t>гральне обладнання; 6 390,00 тис. грн на провадження діяльності з надання послуг у сфері азартних</w:t>
      </w:r>
      <w:r>
        <w:rPr>
          <w:spacing w:val="1"/>
        </w:rPr>
        <w:t xml:space="preserve"> </w:t>
      </w:r>
      <w:r>
        <w:t>ігор, а також штрафні (фінансові) санкції у сумі 3 350,0 тис.грн та помилкові надходження, з</w:t>
      </w:r>
      <w:r>
        <w:rPr>
          <w:spacing w:val="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повернених коштів</w:t>
      </w:r>
      <w:r>
        <w:rPr>
          <w:spacing w:val="-1"/>
        </w:rPr>
        <w:t xml:space="preserve"> </w:t>
      </w:r>
      <w:r>
        <w:t>– 2,9742 тис.</w:t>
      </w:r>
      <w:r>
        <w:rPr>
          <w:spacing w:val="-1"/>
        </w:rPr>
        <w:t xml:space="preserve"> </w:t>
      </w:r>
      <w:r>
        <w:t>грн.</w:t>
      </w:r>
    </w:p>
    <w:p>
      <w:pPr>
        <w:pStyle w:val="P1"/>
        <w:ind w:firstLine="566" w:right="102"/>
        <w:jc w:val="both"/>
      </w:pPr>
      <w:r>
        <w:t>Інформація про загальну суму сплачених коштів у розрізі видів ліцензій у сфері діяльності з</w:t>
      </w:r>
      <w:r>
        <w:rPr>
          <w:spacing w:val="1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азартних</w:t>
      </w:r>
      <w:r>
        <w:rPr>
          <w:spacing w:val="-6"/>
        </w:rPr>
        <w:t xml:space="preserve"> </w:t>
      </w:r>
      <w:r>
        <w:t>ігор</w:t>
      </w:r>
      <w:r>
        <w:rPr>
          <w:spacing w:val="-6"/>
        </w:rPr>
        <w:t xml:space="preserve"> та штрафних (фінансових) санкцій</w:t>
        <w:br w:type="textWrapping"/>
      </w:r>
      <w:r>
        <w:t>у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році,</w:t>
      </w:r>
      <w:r>
        <w:rPr>
          <w:spacing w:val="-5"/>
        </w:rPr>
        <w:t xml:space="preserve"> </w:t>
      </w:r>
      <w:r>
        <w:t>станом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01.04.2024</w:t>
      </w:r>
      <w:r>
        <w:rPr>
          <w:spacing w:val="-6"/>
        </w:rPr>
        <w:t xml:space="preserve"> та у звітному місяці (березні) </w:t>
      </w:r>
      <w:r>
        <w:t>відображена</w:t>
      </w:r>
      <w:r>
        <w:rPr>
          <w:spacing w:val="-7"/>
        </w:rPr>
        <w:t xml:space="preserve"> </w:t>
      </w:r>
      <w:r>
        <w:t>на рисунках</w:t>
      </w:r>
      <w:r>
        <w:rPr>
          <w:spacing w:val="-5"/>
        </w:rPr>
        <w:t xml:space="preserve"> </w:t>
      </w:r>
      <w:r>
        <w:t xml:space="preserve">1, 2  та в таблицях 1, 3, що додаються.</w:t>
      </w:r>
    </w:p>
    <w:p>
      <w:pPr>
        <w:pStyle w:val="P1"/>
        <w:ind w:firstLine="567" w:right="110"/>
        <w:jc w:val="both"/>
      </w:pPr>
      <w:r>
        <w:t>За</w:t>
      </w:r>
      <w:r>
        <w:rPr>
          <w:spacing w:val="25"/>
        </w:rPr>
        <w:t xml:space="preserve"> </w:t>
      </w:r>
      <w:r>
        <w:t>січень</w:t>
      </w:r>
      <w:r>
        <w:rPr>
          <w:spacing w:val="86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березень</w:t>
      </w:r>
      <w:r>
        <w:rPr>
          <w:spacing w:val="85"/>
        </w:rPr>
        <w:t xml:space="preserve"> </w:t>
      </w:r>
      <w:r>
        <w:t>2024</w:t>
      </w:r>
      <w:r>
        <w:rPr>
          <w:spacing w:val="85"/>
        </w:rPr>
        <w:t xml:space="preserve"> </w:t>
      </w:r>
      <w:r>
        <w:t>року</w:t>
      </w:r>
      <w:r>
        <w:rPr>
          <w:spacing w:val="85"/>
        </w:rPr>
        <w:t xml:space="preserve"> </w:t>
      </w:r>
      <w:r>
        <w:t>загальна</w:t>
      </w:r>
      <w:r>
        <w:rPr>
          <w:spacing w:val="85"/>
        </w:rPr>
        <w:t xml:space="preserve"> </w:t>
      </w:r>
      <w:r>
        <w:t>кількість</w:t>
      </w:r>
      <w:r>
        <w:rPr>
          <w:spacing w:val="89"/>
        </w:rPr>
        <w:t xml:space="preserve"> </w:t>
      </w:r>
      <w:r>
        <w:t>виданих</w:t>
      </w:r>
      <w:r>
        <w:rPr>
          <w:spacing w:val="85"/>
        </w:rPr>
        <w:t xml:space="preserve"> </w:t>
      </w:r>
      <w:r>
        <w:t>КРАІЛ</w:t>
      </w:r>
      <w:r>
        <w:rPr>
          <w:spacing w:val="85"/>
        </w:rPr>
        <w:t xml:space="preserve"> </w:t>
      </w:r>
      <w:r>
        <w:t>ліцензій</w:t>
      </w:r>
      <w:r>
        <w:rPr>
          <w:spacing w:val="86"/>
        </w:rPr>
        <w:t xml:space="preserve"> </w:t>
      </w:r>
      <w:r>
        <w:t>становила 152 (рис. 3, таб. 1 – 3), з них:</w:t>
      </w:r>
    </w:p>
    <w:p>
      <w:pPr>
        <w:pStyle w:val="P1"/>
        <w:ind w:firstLine="567"/>
        <w:jc w:val="both"/>
      </w:pPr>
      <w:r>
        <w:t>138 ліцензій на гральні автомати;</w:t>
      </w:r>
    </w:p>
    <w:p>
      <w:pPr>
        <w:pStyle w:val="P1"/>
        <w:ind w:firstLine="567"/>
        <w:jc w:val="both"/>
      </w:pPr>
      <w:r>
        <w:t>9 ліцензій на гральні столи;</w:t>
      </w:r>
    </w:p>
    <w:p>
      <w:pPr>
        <w:pStyle w:val="P1"/>
        <w:ind w:firstLine="567"/>
        <w:jc w:val="both"/>
      </w:pPr>
      <w:r>
        <w:t>1 ліцензія на гральний стіл з кільцем рулетки;</w:t>
      </w:r>
    </w:p>
    <w:p>
      <w:pPr>
        <w:pStyle w:val="P1"/>
        <w:ind w:firstLine="566" w:right="649"/>
        <w:jc w:val="both"/>
      </w:pPr>
      <w:r>
        <w:rPr>
          <w:spacing w:val="-2"/>
        </w:rPr>
        <w:t xml:space="preserve">3 </w:t>
      </w:r>
      <w:r>
        <w:t>ліцензії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провадження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азартних</w:t>
      </w:r>
      <w:r>
        <w:rPr>
          <w:spacing w:val="-1"/>
        </w:rPr>
        <w:t xml:space="preserve"> </w:t>
      </w:r>
      <w:r>
        <w:t>ігор;</w:t>
      </w:r>
    </w:p>
    <w:p>
      <w:pPr>
        <w:pStyle w:val="P1"/>
        <w:ind w:firstLine="566" w:right="110"/>
        <w:jc w:val="both"/>
      </w:pPr>
      <w:bookmarkStart w:id="0" w:name="_Hlk163479640"/>
      <w:r>
        <w:t>1 ліцензія на провадження діяльності з організації та проведення азартних ігор казино у мережі Інтернет.</w:t>
      </w:r>
    </w:p>
    <w:p>
      <w:pPr>
        <w:pStyle w:val="P1"/>
        <w:ind w:firstLine="566" w:right="106"/>
        <w:jc w:val="both"/>
      </w:pPr>
      <w:bookmarkEnd w:id="0"/>
      <w:r>
        <w:t>У</w:t>
      </w:r>
      <w:r>
        <w:rPr>
          <w:spacing w:val="51"/>
        </w:rPr>
        <w:t xml:space="preserve"> </w:t>
      </w:r>
      <w:r>
        <w:t>звітному</w:t>
      </w:r>
      <w:r>
        <w:rPr>
          <w:spacing w:val="108"/>
        </w:rPr>
        <w:t xml:space="preserve"> </w:t>
      </w:r>
      <w:r>
        <w:t>місяці</w:t>
      </w:r>
      <w:r>
        <w:rPr>
          <w:spacing w:val="109"/>
        </w:rPr>
        <w:t xml:space="preserve"> </w:t>
      </w:r>
      <w:r>
        <w:t>(березні)</w:t>
      </w:r>
      <w:r>
        <w:rPr>
          <w:spacing w:val="109"/>
        </w:rPr>
        <w:t xml:space="preserve"> </w:t>
      </w:r>
      <w:r>
        <w:t>кількість</w:t>
      </w:r>
      <w:r>
        <w:rPr>
          <w:spacing w:val="109"/>
        </w:rPr>
        <w:t xml:space="preserve"> </w:t>
      </w:r>
      <w:r>
        <w:t>виданих</w:t>
      </w:r>
      <w:r>
        <w:rPr>
          <w:spacing w:val="109"/>
        </w:rPr>
        <w:t xml:space="preserve"> </w:t>
      </w:r>
      <w:r>
        <w:t>КРАІЛ</w:t>
      </w:r>
      <w:r>
        <w:rPr>
          <w:spacing w:val="109"/>
        </w:rPr>
        <w:t xml:space="preserve"> </w:t>
      </w:r>
      <w:r>
        <w:t>ліцензій</w:t>
      </w:r>
      <w:r>
        <w:rPr>
          <w:spacing w:val="107"/>
        </w:rPr>
        <w:t xml:space="preserve"> </w:t>
      </w:r>
      <w:r>
        <w:t>становила</w:t>
      </w:r>
      <w:r>
        <w:rPr>
          <w:spacing w:val="114"/>
        </w:rPr>
        <w:t xml:space="preserve"> </w:t>
      </w:r>
      <w:r>
        <w:t>90</w:t>
        <w:br w:type="textWrapping"/>
        <w:t>(рис. 4, табл.</w:t>
      </w:r>
      <w:r>
        <w:rPr>
          <w:spacing w:val="-1"/>
        </w:rPr>
        <w:t xml:space="preserve"> </w:t>
      </w:r>
      <w:r>
        <w:t>2, 3), а саме:</w:t>
      </w:r>
      <w:r>
        <w:rPr>
          <w:spacing w:val="108"/>
        </w:rPr>
        <w:t xml:space="preserve"> </w:t>
      </w:r>
    </w:p>
    <w:p>
      <w:pPr>
        <w:pStyle w:val="P1"/>
        <w:ind w:firstLine="566" w:right="106"/>
        <w:jc w:val="both"/>
      </w:pPr>
      <w:r>
        <w:t>78 ліцензій на гральні автомати;</w:t>
      </w:r>
    </w:p>
    <w:p>
      <w:pPr>
        <w:pStyle w:val="P1"/>
        <w:ind w:firstLine="566" w:right="106"/>
        <w:jc w:val="both"/>
      </w:pPr>
      <w:r>
        <w:t>9 ліцензій на гральний стіл;</w:t>
      </w:r>
    </w:p>
    <w:p>
      <w:pPr>
        <w:pStyle w:val="P1"/>
        <w:ind w:firstLine="566" w:right="106"/>
        <w:jc w:val="both"/>
      </w:pPr>
      <w:r>
        <w:t>1 ліцензія на гральний стіл з кільцем рулетки;</w:t>
      </w:r>
    </w:p>
    <w:p>
      <w:pPr>
        <w:pStyle w:val="P1"/>
        <w:ind w:firstLine="566" w:right="106"/>
        <w:jc w:val="both"/>
      </w:pPr>
      <w:r>
        <w:t>1 ліцензія на провадження діяльності з надання послуг у сфері азартних ігор;</w:t>
      </w:r>
    </w:p>
    <w:p>
      <w:pPr>
        <w:pStyle w:val="P1"/>
        <w:ind w:firstLine="566" w:right="106"/>
        <w:jc w:val="both"/>
      </w:pPr>
      <w:r>
        <w:t>1 ліцензія на провадження діяльності з організації та проведення азартних ігор казино у мережі Інтернет.</w:t>
      </w:r>
    </w:p>
    <w:p>
      <w:pPr>
        <w:pStyle w:val="P1"/>
        <w:spacing w:before="1" w:beforeAutospacing="0" w:afterAutospacing="0"/>
        <w:ind w:firstLine="566"/>
        <w:jc w:val="both"/>
      </w:pPr>
      <w:r>
        <w:t>Також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році</w:t>
      </w:r>
      <w:r>
        <w:rPr>
          <w:spacing w:val="-7"/>
        </w:rPr>
        <w:t xml:space="preserve"> </w:t>
      </w:r>
      <w:r>
        <w:t>відбулось</w:t>
      </w:r>
      <w:r>
        <w:rPr>
          <w:spacing w:val="-8"/>
        </w:rPr>
        <w:t xml:space="preserve"> </w:t>
      </w:r>
      <w:r>
        <w:t>анулювання</w:t>
      </w:r>
      <w:r>
        <w:rPr>
          <w:spacing w:val="-7"/>
        </w:rPr>
        <w:t xml:space="preserve"> </w:t>
      </w:r>
      <w:r>
        <w:t>ліцензій</w:t>
      </w:r>
      <w:r>
        <w:rPr>
          <w:spacing w:val="-7"/>
        </w:rPr>
        <w:t xml:space="preserve"> </w:t>
      </w:r>
      <w:r>
        <w:t>КРАІЛ,</w:t>
      </w:r>
      <w:r>
        <w:rPr>
          <w:spacing w:val="-7"/>
        </w:rPr>
        <w:t xml:space="preserve"> </w:t>
      </w:r>
      <w:r>
        <w:t>виданих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ро</w:t>
      </w:r>
      <w:r>
        <w:t>ці</w:t>
      </w:r>
      <w:r>
        <w:t>.</w:t>
      </w:r>
    </w:p>
    <w:p>
      <w:pPr>
        <w:pStyle w:val="P1"/>
        <w:ind w:firstLine="566" w:right="102"/>
        <w:jc w:val="both"/>
      </w:pPr>
      <w:r>
        <w:t>Загальна</w:t>
      </w:r>
      <w:r>
        <w:rPr>
          <w:spacing w:val="77"/>
        </w:rPr>
        <w:t xml:space="preserve"> </w:t>
      </w:r>
      <w:r>
        <w:t xml:space="preserve">кількість анульованих  </w:t>
      </w:r>
      <w:r>
        <w:rPr>
          <w:spacing w:val="17"/>
        </w:rPr>
        <w:t xml:space="preserve"> </w:t>
      </w:r>
      <w:r>
        <w:t xml:space="preserve">ліцензій </w:t>
      </w:r>
      <w:r>
        <w:rPr>
          <w:spacing w:val="18"/>
        </w:rPr>
        <w:t xml:space="preserve"> </w:t>
      </w:r>
      <w:r>
        <w:t xml:space="preserve">у  2024</w:t>
      </w:r>
      <w:r>
        <w:rPr>
          <w:spacing w:val="2"/>
        </w:rPr>
        <w:t xml:space="preserve"> </w:t>
      </w:r>
      <w:r>
        <w:t xml:space="preserve">р.  </w:t>
      </w:r>
      <w:r>
        <w:rPr>
          <w:spacing w:val="17"/>
        </w:rPr>
        <w:t xml:space="preserve"> </w:t>
      </w:r>
      <w:r>
        <w:t xml:space="preserve">станом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 xml:space="preserve">01.04.2024  </w:t>
      </w:r>
      <w:r>
        <w:rPr>
          <w:spacing w:val="16"/>
        </w:rPr>
        <w:t xml:space="preserve"> </w:t>
      </w:r>
      <w:r>
        <w:t>становить 39 ліцензій на гральні автомати (рис.5, таб. 1 – 3).</w:t>
      </w:r>
    </w:p>
    <w:p>
      <w:pPr>
        <w:pStyle w:val="P1"/>
        <w:ind w:firstLine="566"/>
        <w:jc w:val="both"/>
      </w:pPr>
      <w:r>
        <w:t>У</w:t>
      </w:r>
      <w:r>
        <w:rPr>
          <w:spacing w:val="-9"/>
        </w:rPr>
        <w:t xml:space="preserve"> </w:t>
      </w:r>
      <w:r>
        <w:t>звітному</w:t>
      </w:r>
      <w:r>
        <w:rPr>
          <w:spacing w:val="-9"/>
        </w:rPr>
        <w:t xml:space="preserve"> </w:t>
      </w:r>
      <w:r>
        <w:t>місяці</w:t>
      </w:r>
      <w:r>
        <w:rPr>
          <w:spacing w:val="-8"/>
        </w:rPr>
        <w:t xml:space="preserve"> </w:t>
      </w:r>
      <w:r>
        <w:t>(березні)</w:t>
      </w:r>
      <w:r>
        <w:rPr>
          <w:spacing w:val="-9"/>
        </w:rPr>
        <w:t xml:space="preserve"> </w:t>
      </w:r>
      <w:r>
        <w:t>анулювання</w:t>
      </w:r>
      <w:r>
        <w:rPr>
          <w:spacing w:val="-8"/>
        </w:rPr>
        <w:t xml:space="preserve"> </w:t>
      </w:r>
      <w:r>
        <w:t>ліцензій,</w:t>
      </w:r>
      <w:r>
        <w:rPr>
          <w:spacing w:val="-9"/>
        </w:rPr>
        <w:t xml:space="preserve"> </w:t>
      </w:r>
      <w:r>
        <w:t>виданих</w:t>
      </w:r>
      <w:r>
        <w:rPr>
          <w:spacing w:val="-11"/>
        </w:rPr>
        <w:t xml:space="preserve"> </w:t>
      </w:r>
      <w:r>
        <w:t>КРАІЛ,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здійснювалося.</w:t>
      </w:r>
    </w:p>
    <w:p>
      <w:pPr>
        <w:pStyle w:val="P1"/>
        <w:ind w:firstLine="567"/>
        <w:jc w:val="both"/>
      </w:pPr>
      <w:r>
        <w:t xml:space="preserve">Також у 2024 році до державного бюджету надійшло 3350,00 тис.грн  через сплату штрафу ТОВ «УКР ГЕЙМ ТЕХНОЛОДЖІ» відповідно до рішення КРАІЛ від 30.01.2024 № 57 «Про застосування фінансової санкції (штрафу) до ТОВ «УКР ГЕЙМ ТЕХНОЛОДЖІ».</w:t>
      </w:r>
    </w:p>
    <w:p>
      <w:pPr>
        <w:pStyle w:val="P1"/>
        <w:ind w:firstLine="566" w:right="99"/>
        <w:jc w:val="both"/>
      </w:pPr>
      <w:r>
        <w:t>Станом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01.04.2024</w:t>
      </w:r>
      <w:r>
        <w:rPr>
          <w:spacing w:val="10"/>
        </w:rPr>
        <w:t xml:space="preserve"> </w:t>
      </w:r>
      <w:r>
        <w:t>чинні</w:t>
      </w:r>
      <w:r>
        <w:rPr>
          <w:spacing w:val="68"/>
        </w:rPr>
        <w:t xml:space="preserve"> </w:t>
      </w:r>
      <w:r>
        <w:t>ліцензії</w:t>
      </w:r>
      <w:r>
        <w:rPr>
          <w:spacing w:val="66"/>
        </w:rPr>
        <w:t xml:space="preserve"> </w:t>
      </w:r>
      <w:r>
        <w:t>КРАІЛ</w:t>
      </w:r>
      <w:r>
        <w:rPr>
          <w:spacing w:val="65"/>
        </w:rPr>
        <w:t xml:space="preserve"> </w:t>
      </w:r>
      <w:r>
        <w:t>мають</w:t>
      </w:r>
      <w:r>
        <w:rPr>
          <w:spacing w:val="73"/>
        </w:rPr>
        <w:t xml:space="preserve"> </w:t>
      </w:r>
      <w:r>
        <w:t>54</w:t>
      </w:r>
      <w:r>
        <w:rPr>
          <w:spacing w:val="67"/>
        </w:rPr>
        <w:t xml:space="preserve"> </w:t>
      </w:r>
      <w:r>
        <w:t>суб’єкти</w:t>
      </w:r>
      <w:r>
        <w:rPr>
          <w:spacing w:val="66"/>
        </w:rPr>
        <w:t xml:space="preserve"> </w:t>
      </w:r>
      <w:r>
        <w:t>господарювання,</w:t>
      </w:r>
      <w:r>
        <w:rPr>
          <w:spacing w:val="67"/>
        </w:rPr>
        <w:t xml:space="preserve"> </w:t>
      </w:r>
      <w:r>
        <w:t>з</w:t>
      </w:r>
      <w:r>
        <w:rPr>
          <w:spacing w:val="69"/>
        </w:rPr>
        <w:t xml:space="preserve"> </w:t>
      </w:r>
      <w:r>
        <w:t>них: 29 організаторів азартних</w:t>
      </w:r>
      <w:r>
        <w:rPr>
          <w:spacing w:val="-1"/>
        </w:rPr>
        <w:t xml:space="preserve"> </w:t>
      </w:r>
      <w:r>
        <w:t>ігор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надавачі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у сфері</w:t>
      </w:r>
      <w:r>
        <w:rPr>
          <w:spacing w:val="-1"/>
        </w:rPr>
        <w:t xml:space="preserve"> </w:t>
      </w:r>
      <w:r>
        <w:t>азартних</w:t>
      </w:r>
      <w:r>
        <w:rPr>
          <w:spacing w:val="-1"/>
        </w:rPr>
        <w:t xml:space="preserve"> </w:t>
      </w:r>
      <w:r>
        <w:t>ігор.</w:t>
      </w:r>
    </w:p>
    <w:p>
      <w:pPr>
        <w:jc w:val="both"/>
        <w:rPr>
          <w:i w:val="1"/>
          <w:sz w:val="24"/>
        </w:rPr>
      </w:pPr>
      <w:r>
        <w:rPr>
          <w:i w:val="1"/>
          <w:sz w:val="24"/>
        </w:rPr>
        <w:t>Додатково:</w:t>
      </w:r>
      <w:r>
        <w:rPr>
          <w:i w:val="1"/>
          <w:sz w:val="24"/>
          <w:spacing w:val="-6"/>
        </w:rPr>
        <w:t xml:space="preserve"> </w:t>
      </w:r>
      <w:r>
        <w:rPr>
          <w:i w:val="1"/>
          <w:sz w:val="24"/>
        </w:rPr>
        <w:t>таблиці</w:t>
      </w:r>
      <w:r>
        <w:rPr>
          <w:i w:val="1"/>
          <w:sz w:val="24"/>
          <w:spacing w:val="-6"/>
        </w:rPr>
        <w:t xml:space="preserve"> </w:t>
      </w:r>
      <w:r>
        <w:rPr>
          <w:i w:val="1"/>
          <w:sz w:val="24"/>
        </w:rPr>
        <w:t>1,</w:t>
      </w:r>
      <w:r>
        <w:rPr>
          <w:i w:val="1"/>
          <w:sz w:val="24"/>
          <w:spacing w:val="-7"/>
        </w:rPr>
        <w:t xml:space="preserve"> </w:t>
      </w:r>
      <w:r>
        <w:rPr>
          <w:i w:val="1"/>
          <w:sz w:val="24"/>
        </w:rPr>
        <w:t>2,</w:t>
      </w:r>
      <w:r>
        <w:rPr>
          <w:i w:val="1"/>
          <w:sz w:val="24"/>
          <w:spacing w:val="-6"/>
        </w:rPr>
        <w:t xml:space="preserve"> </w:t>
      </w:r>
      <w:r>
        <w:rPr>
          <w:i w:val="1"/>
          <w:sz w:val="24"/>
        </w:rPr>
        <w:t>3</w:t>
      </w:r>
      <w:r>
        <w:rPr>
          <w:i w:val="1"/>
          <w:sz w:val="24"/>
          <w:spacing w:val="-5"/>
        </w:rPr>
        <w:t xml:space="preserve"> </w:t>
      </w:r>
      <w:r>
        <w:rPr>
          <w:i w:val="1"/>
          <w:sz w:val="24"/>
        </w:rPr>
        <w:t>додаються</w:t>
      </w:r>
      <w:r>
        <w:rPr>
          <w:i w:val="1"/>
          <w:sz w:val="24"/>
          <w:spacing w:val="-8"/>
        </w:rPr>
        <w:t xml:space="preserve"> </w:t>
      </w:r>
      <w:r>
        <w:rPr>
          <w:i w:val="1"/>
          <w:sz w:val="24"/>
        </w:rPr>
        <w:t>у</w:t>
      </w:r>
      <w:r>
        <w:rPr>
          <w:i w:val="1"/>
          <w:sz w:val="24"/>
          <w:spacing w:val="-6"/>
        </w:rPr>
        <w:t xml:space="preserve"> </w:t>
      </w:r>
      <w:r>
        <w:rPr>
          <w:i w:val="1"/>
          <w:sz w:val="24"/>
        </w:rPr>
        <w:t>форматі</w:t>
      </w:r>
      <w:r>
        <w:rPr>
          <w:i w:val="1"/>
          <w:sz w:val="24"/>
          <w:spacing w:val="-3"/>
        </w:rPr>
        <w:t xml:space="preserve"> </w:t>
      </w:r>
      <w:r>
        <w:rPr>
          <w:i w:val="1"/>
          <w:sz w:val="24"/>
        </w:rPr>
        <w:t>xlsx.</w:t>
      </w:r>
    </w:p>
    <w:p>
      <w:pPr>
        <w:rPr>
          <w:sz w:val="24"/>
        </w:rPr>
        <w:sectPr>
          <w:footnotePr/>
          <w:endnotePr/>
          <w:type w:val="continuous"/>
          <w:pgSz w:w="11910" w:h="16840" w:code="0"/>
          <w:pgMar w:left="1701" w:right="570" w:top="580" w:bottom="280" w:header="720" w:footer="720" w:gutter="0"/>
          <w:cols w:equalWidth="1" w:space="720"/>
        </w:sectPr>
      </w:pPr>
    </w:p>
    <w:p>
      <w:pPr>
        <w:spacing w:before="90" w:beforeAutospacing="0" w:afterAutospacing="0"/>
        <w:ind w:left="130" w:right="130"/>
        <w:rPr>
          <w:b w:val="1"/>
          <w:sz w:val="24"/>
        </w:rPr>
      </w:pPr>
      <w:r>
        <w:rPr>
          <w:b w:val="1"/>
          <w:noProof w:val="1"/>
          <w:sz w:val="24"/>
        </w:rPr>
        <w:drawing>
          <wp:inline xmlns:wp="http://schemas.openxmlformats.org/drawingml/2006/wordprocessingDrawing" distT="0" distB="0" distL="0" distR="0">
            <wp:extent cx="9364345" cy="5645150"/>
            <wp:effectExtent l="0" t="0" r="8255" b="0"/>
            <wp:docPr id="1977988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56451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before="90" w:beforeAutospacing="0" w:afterAutospacing="0"/>
        <w:ind w:left="130" w:right="130"/>
        <w:jc w:val="center"/>
        <w:rPr>
          <w:b w:val="1"/>
          <w:sz w:val="24"/>
        </w:rPr>
      </w:pPr>
      <w:r>
        <w:rPr>
          <w:b w:val="1"/>
          <w:sz w:val="24"/>
        </w:rPr>
        <w:t>Рис.</w:t>
      </w:r>
      <w:r>
        <w:rPr>
          <w:b w:val="1"/>
          <w:sz w:val="24"/>
          <w:spacing w:val="-1"/>
        </w:rPr>
        <w:t xml:space="preserve"> </w:t>
      </w:r>
      <w:r>
        <w:rPr>
          <w:b w:val="1"/>
          <w:sz w:val="24"/>
        </w:rPr>
        <w:t>1</w:t>
      </w:r>
    </w:p>
    <w:p>
      <w:pPr>
        <w:jc w:val="center"/>
        <w:rPr>
          <w:sz w:val="24"/>
        </w:rPr>
        <w:sectPr>
          <w:footnotePr/>
          <w:endnotePr/>
          <w:type w:val="nextPage"/>
          <w:pgSz w:w="16840" w:h="11910" w:code="0" w:orient="landscape"/>
          <w:pgMar w:left="1600" w:right="460" w:top="1100" w:bottom="280" w:header="720" w:footer="720" w:gutter="0"/>
          <w:cols w:equalWidth="1" w:space="720"/>
        </w:sectPr>
      </w:pPr>
    </w:p>
    <w:p>
      <w:pPr>
        <w:pStyle w:val="P1"/>
        <w:spacing w:before="8" w:beforeAutospacing="0" w:afterAutospacing="0"/>
        <w:rPr>
          <w:b w:val="1"/>
          <w:sz w:val="26"/>
        </w:rPr>
      </w:pPr>
      <w:r>
        <w:rPr>
          <w:b w:val="1"/>
          <w:noProof w:val="1"/>
          <w:sz w:val="26"/>
        </w:rPr>
        <w:drawing>
          <wp:inline xmlns:wp="http://schemas.openxmlformats.org/drawingml/2006/wordprocessingDrawing" distT="0" distB="0" distL="0" distR="0">
            <wp:extent cx="8571865" cy="4542155"/>
            <wp:effectExtent l="0" t="0" r="635" b="0"/>
            <wp:docPr id="12701895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65" cy="45421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before="90" w:beforeAutospacing="0" w:afterAutospacing="0"/>
        <w:ind w:left="130" w:right="130"/>
        <w:jc w:val="center"/>
        <w:rPr>
          <w:b w:val="1"/>
          <w:sz w:val="24"/>
        </w:rPr>
      </w:pPr>
      <w:r>
        <w:rPr>
          <w:b w:val="1"/>
          <w:sz w:val="24"/>
        </w:rPr>
        <w:t>Рис.</w:t>
      </w:r>
      <w:r>
        <w:rPr>
          <w:b w:val="1"/>
          <w:sz w:val="24"/>
          <w:spacing w:val="-1"/>
        </w:rPr>
        <w:t xml:space="preserve"> </w:t>
      </w:r>
      <w:r>
        <w:rPr>
          <w:b w:val="1"/>
          <w:sz w:val="24"/>
        </w:rPr>
        <w:t>2</w:t>
      </w:r>
    </w:p>
    <w:p>
      <w:pPr>
        <w:jc w:val="center"/>
        <w:rPr>
          <w:sz w:val="24"/>
        </w:rPr>
        <w:sectPr>
          <w:headerReference xmlns:r="http://schemas.openxmlformats.org/officeDocument/2006/relationships" w:type="default" r:id="RelHdr1"/>
          <w:footnotePr/>
          <w:endnotePr/>
          <w:type w:val="nextPage"/>
          <w:pgSz w:w="16840" w:h="11910" w:code="0" w:orient="landscape"/>
          <w:pgMar w:left="1600" w:right="460" w:top="1100" w:bottom="280" w:header="715" w:footer="0" w:gutter="0"/>
          <w:pgNumType w:start="3" w:chapSep="period"/>
          <w:cols w:equalWidth="1" w:space="720"/>
        </w:sectPr>
      </w:pPr>
    </w:p>
    <w:p>
      <w:pPr>
        <w:pStyle w:val="P1"/>
        <w:rPr>
          <w:b w:val="1"/>
          <w:noProof w:val="1"/>
          <w:sz w:val="20"/>
        </w:rPr>
      </w:pPr>
      <w:r>
        <w:rPr>
          <w:b w:val="1"/>
          <w:noProof w:val="1"/>
          <w:sz w:val="20"/>
        </w:rPr>
        <w:drawing>
          <wp:inline xmlns:wp="http://schemas.openxmlformats.org/drawingml/2006/wordprocessingDrawing" distT="0" distB="0" distL="0" distR="0">
            <wp:extent cx="8571865" cy="4596765"/>
            <wp:effectExtent l="0" t="0" r="635" b="0"/>
            <wp:docPr id="11166600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65" cy="4596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jc w:val="center"/>
        <w:rPr>
          <w:b w:val="1"/>
          <w:noProof w:val="1"/>
          <w:sz w:val="20"/>
        </w:rPr>
      </w:pPr>
      <w:r>
        <w:rPr>
          <w:b w:val="1"/>
          <w:noProof w:val="1"/>
          <w:sz w:val="20"/>
        </w:rPr>
        <w:t xml:space="preserve">Рис. 3 </w:t>
      </w:r>
    </w:p>
    <w:p>
      <w:pPr>
        <w:widowControl w:val="1"/>
        <w:rPr>
          <w:b w:val="1"/>
          <w:noProof w:val="1"/>
          <w:sz w:val="20"/>
          <w:szCs w:val="24"/>
        </w:rPr>
      </w:pPr>
      <w:r>
        <w:rPr>
          <w:b w:val="1"/>
          <w:noProof w:val="1"/>
          <w:sz w:val="20"/>
        </w:rPr>
        <w:br w:type="page"/>
      </w:r>
    </w:p>
    <w:p>
      <w:pPr>
        <w:pStyle w:val="P1"/>
        <w:jc w:val="center"/>
        <w:rPr>
          <w:b w:val="1"/>
          <w:noProof w:val="1"/>
          <w:sz w:val="20"/>
        </w:rPr>
      </w:pPr>
    </w:p>
    <w:p>
      <w:pPr>
        <w:pStyle w:val="P1"/>
        <w:rPr>
          <w:b w:val="1"/>
          <w:sz w:val="20"/>
        </w:rPr>
      </w:pPr>
      <w:r>
        <w:rPr>
          <w:b w:val="1"/>
          <w:noProof w:val="1"/>
          <w:sz w:val="20"/>
        </w:rPr>
        <w:drawing>
          <wp:inline xmlns:wp="http://schemas.openxmlformats.org/drawingml/2006/wordprocessingDrawing" distT="0" distB="0" distL="0" distR="0">
            <wp:extent cx="8571865" cy="4529455"/>
            <wp:effectExtent l="0" t="0" r="635" b="4445"/>
            <wp:docPr id="18325270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65" cy="45294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  <w:sectPr>
          <w:footnotePr/>
          <w:endnotePr/>
          <w:type w:val="nextPage"/>
          <w:pgSz w:w="16840" w:h="11910" w:code="0" w:orient="landscape"/>
          <w:pgMar w:left="1600" w:right="460" w:top="1100" w:bottom="280" w:header="715" w:footer="0" w:gutter="0"/>
          <w:cols w:equalWidth="1" w:space="720"/>
        </w:sectPr>
      </w:pPr>
      <w:r>
        <w:rPr>
          <w:sz w:val="24"/>
        </w:rPr>
        <w:t>Рис. 4</w:t>
      </w:r>
    </w:p>
    <w:p>
      <w:pPr>
        <w:pStyle w:val="P1"/>
        <w:spacing w:before="8" w:beforeAutospacing="0" w:afterAutospacing="0"/>
        <w:rPr>
          <w:b w:val="1"/>
          <w:sz w:val="16"/>
        </w:rPr>
      </w:pPr>
      <w:r>
        <w:rPr>
          <w:b w:val="1"/>
          <w:noProof w:val="1"/>
          <w:sz w:val="16"/>
        </w:rPr>
        <w:drawing>
          <wp:inline xmlns:wp="http://schemas.openxmlformats.org/drawingml/2006/wordprocessingDrawing" distT="0" distB="0" distL="0" distR="0">
            <wp:extent cx="9297035" cy="3944620"/>
            <wp:effectExtent l="0" t="0" r="0" b="0"/>
            <wp:docPr id="259979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035" cy="39446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before="90" w:beforeAutospacing="0" w:afterAutospacing="0"/>
        <w:ind w:left="130" w:right="130"/>
        <w:jc w:val="center"/>
        <w:rPr>
          <w:b w:val="1"/>
          <w:sz w:val="24"/>
        </w:rPr>
      </w:pPr>
      <w:r>
        <w:rPr>
          <w:b w:val="1"/>
          <w:sz w:val="24"/>
        </w:rPr>
        <w:t>Рис.</w:t>
      </w:r>
      <w:r>
        <w:rPr>
          <w:b w:val="1"/>
          <w:sz w:val="24"/>
          <w:spacing w:val="-1"/>
        </w:rPr>
        <w:t xml:space="preserve"> </w:t>
      </w:r>
      <w:r>
        <w:rPr>
          <w:b w:val="1"/>
          <w:sz w:val="24"/>
        </w:rPr>
        <w:t>5</w:t>
      </w:r>
    </w:p>
    <w:p>
      <w:pPr>
        <w:jc w:val="center"/>
        <w:rPr>
          <w:sz w:val="24"/>
        </w:rPr>
        <w:sectPr>
          <w:footnotePr/>
          <w:endnotePr/>
          <w:type w:val="nextPage"/>
          <w:pgSz w:w="16840" w:h="11910" w:code="0" w:orient="landscape"/>
          <w:pgMar w:left="1600" w:right="460" w:top="1100" w:bottom="280" w:header="715" w:footer="0" w:gutter="0"/>
          <w:cols w:equalWidth="1" w:space="720"/>
        </w:sectPr>
      </w:pPr>
    </w:p>
    <w:p>
      <w:pPr>
        <w:spacing w:before="92" w:beforeAutospacing="0" w:afterAutospacing="0"/>
        <w:ind w:firstLine="13427" w:right="84"/>
        <w:jc w:val="center"/>
      </w:pPr>
      <w:r>
        <w:rPr>
          <w:spacing w:val="-1"/>
        </w:rPr>
        <w:t xml:space="preserve">Таблиця </w:t>
      </w:r>
      <w:r>
        <w:t>1</w:t>
      </w:r>
      <w:r>
        <w:rPr>
          <w:spacing w:val="-52"/>
        </w:rPr>
        <w:t xml:space="preserve"> </w:t>
      </w:r>
      <w: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(станом на 01.04.2024)</w:t>
      </w:r>
    </w:p>
    <w:p>
      <w:pPr>
        <w:spacing w:before="92" w:beforeAutospacing="0" w:afterAutospacing="0"/>
        <w:ind w:firstLine="13427" w:left="301" w:right="84"/>
        <w:jc w:val="center"/>
      </w:pPr>
    </w:p>
    <w:p>
      <w:pPr>
        <w:pStyle w:val="P1"/>
        <w:spacing w:before="3" w:beforeAutospacing="0" w:afterAutospacing="0"/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9385300" cy="4648835"/>
            <wp:effectExtent l="0" t="0" r="0" b="0"/>
            <wp:docPr id="4242370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464883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1"/>
        <w:spacing w:before="3" w:beforeAutospacing="0" w:afterAutospacing="0"/>
      </w:pPr>
    </w:p>
    <w:p>
      <w:pPr>
        <w:spacing w:lineRule="auto" w:line="280" w:beforeAutospacing="0" w:afterAutospacing="0"/>
        <w:rPr>
          <w:sz w:val="13"/>
        </w:rPr>
        <w:sectPr>
          <w:footnotePr/>
          <w:endnotePr/>
          <w:type w:val="nextPage"/>
          <w:pgSz w:w="16840" w:h="11910" w:code="0" w:orient="landscape"/>
          <w:pgMar w:left="1600" w:right="460" w:top="1100" w:bottom="280" w:header="715" w:footer="0" w:gutter="0"/>
          <w:cols w:equalWidth="1" w:space="720"/>
        </w:sectPr>
      </w:pPr>
    </w:p>
    <w:p>
      <w:pPr>
        <w:pStyle w:val="P1"/>
        <w:spacing w:before="8" w:beforeAutospacing="0" w:afterAutospacing="0"/>
      </w:pPr>
    </w:p>
    <w:p>
      <w:pPr>
        <w:spacing w:before="92" w:beforeAutospacing="0" w:afterAutospacing="0"/>
        <w:ind w:firstLine="13091" w:left="234" w:right="84"/>
        <w:jc w:val="center"/>
      </w:pPr>
      <w:r>
        <w:rPr>
          <w:spacing w:val="-1"/>
        </w:rPr>
        <w:t xml:space="preserve">Таблиця   </w:t>
      </w:r>
      <w:r>
        <w:t>2</w:t>
      </w:r>
      <w:r>
        <w:rPr>
          <w:spacing w:val="-52"/>
        </w:rPr>
        <w:t xml:space="preserve"> </w:t>
      </w:r>
      <w: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у тому числі за звітний період (березень 2024 р.)</w:t>
      </w:r>
    </w:p>
    <w:p>
      <w:pPr>
        <w:spacing w:before="92" w:beforeAutospacing="0" w:afterAutospacing="0"/>
        <w:ind w:firstLine="13494" w:left="234" w:right="84"/>
        <w:jc w:val="center"/>
      </w:pPr>
    </w:p>
    <w:p>
      <w:pPr>
        <w:pStyle w:val="P1"/>
        <w:rPr>
          <w:sz w:val="20"/>
        </w:rPr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9385300" cy="5659755"/>
            <wp:effectExtent l="0" t="0" r="0" b="0"/>
            <wp:docPr id="134777810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56597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99"/>
        <w:jc w:val="right"/>
      </w:pPr>
    </w:p>
    <w:p>
      <w:pPr>
        <w:ind w:right="99"/>
        <w:jc w:val="right"/>
      </w:pPr>
      <w:r>
        <w:t>Таблиця</w:t>
      </w:r>
      <w:r>
        <w:rPr>
          <w:spacing w:val="-5"/>
        </w:rPr>
        <w:t xml:space="preserve"> </w:t>
      </w:r>
      <w:r>
        <w:t>3</w:t>
      </w:r>
    </w:p>
    <w:p>
      <w:pPr>
        <w:spacing w:before="124" w:beforeAutospacing="0" w:afterAutospacing="0"/>
        <w:ind w:hanging="843" w:left="1203" w:right="241"/>
      </w:pPr>
      <w: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у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році</w:t>
      </w:r>
      <w:r>
        <w:rPr>
          <w:spacing w:val="-2"/>
        </w:rPr>
        <w:t xml:space="preserve"> </w:t>
      </w:r>
      <w:r>
        <w:t>(станом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01.04.2024),</w:t>
      </w:r>
      <w:r>
        <w:rPr>
          <w:spacing w:val="-3"/>
        </w:rPr>
        <w:t xml:space="preserve"> </w:t>
      </w:r>
      <w:r>
        <w:t>щомісячно</w:t>
      </w:r>
    </w:p>
    <w:p>
      <w:pPr>
        <w:spacing w:before="124" w:beforeAutospacing="0" w:afterAutospacing="0"/>
        <w:ind w:hanging="843" w:left="1203" w:right="241"/>
      </w:pPr>
    </w:p>
    <w:p>
      <w:pPr>
        <w:ind w:right="101"/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9245600" cy="4755515"/>
            <wp:effectExtent l="0" t="0" r="0" b="0"/>
            <wp:docPr id="18495903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475551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notePr/>
      <w:endnotePr/>
      <w:type w:val="nextPage"/>
      <w:pgSz w:w="16840" w:h="11910" w:code="0" w:orient="landscape"/>
      <w:pgMar w:left="1600" w:right="680" w:top="1100" w:bottom="280" w:header="715" w:footer="0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spacing w:lineRule="auto" w:line="14" w:beforeAutospacing="0" w:afterAutospacing="0"/>
      <w:rPr>
        <w:sz w:val="20"/>
      </w:rPr>
    </w:pPr>
    <w:r>
      <w:rPr>
        <w:noProof w:val="1"/>
      </w:rPr>
      <mc:AlternateContent>
        <mc:Choice Requires="wps">
          <w:drawing>
            <wp:anchor xmlns:wp="http://schemas.openxmlformats.org/drawingml/2006/wordprocessingDrawing" distT="0" distB="0" distL="114300" distR="114300" simplePos="0" relativeHeight="1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441325</wp:posOffset>
              </wp:positionV>
              <wp:extent cx="146685" cy="180975"/>
              <wp:effectExtent l="0" t="0" r="0" b="0"/>
              <wp:wrapNone/>
              <wp:docPr id="7949406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before="11" w:beforeAutospacing="0" w:afterAutospacing="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Text Box 1" o:spid="_x0000_s1026" style="position:absolute;width:11.55pt;height:14.25pt;z-index:1;mso-wrap-distance-left:9pt;mso-wrap-distance-top:0pt;mso-wrap-distance-right:9pt;mso-wrap-distance-bottom:0pt;margin-left:443.6pt;margin-top:34.75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before="11" w:beforeAutospacing="0" w:afterAutospacing="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widowControl w:val="0"/>
    </w:pPr>
    <w:rPr>
      <w:rFonts w:ascii="Times New Roman" w:hAnsi="Times New Roman"/>
      <w:sz w:val="22"/>
      <w:szCs w:val="22"/>
      <w:lang w:val="uk-UA" w:eastAsia="en-US"/>
    </w:rPr>
  </w:style>
  <w:style w:type="paragraph" w:styleId="P1">
    <w:name w:val="Body Text"/>
    <w:basedOn w:val="P0"/>
    <w:qFormat/>
    <w:pPr/>
    <w:rPr>
      <w:sz w:val="24"/>
      <w:szCs w:val="24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/>
    <w:rPr/>
  </w:style>
  <w:style w:type="paragraph" w:styleId="P4">
    <w:name w:val="footnote text"/>
    <w:link w:val="C4"/>
    <w:semiHidden/>
    <w:pPr>
      <w:spacing w:lineRule="auto" w:line="240" w:after="0"/>
    </w:pPr>
    <w:rPr>
      <w:sz w:val="20"/>
      <w:szCs w:val="20"/>
    </w:rPr>
  </w:style>
  <w:style w:type="paragraph" w:styleId="P5">
    <w:name w:val="endnote text"/>
    <w:link w:val="C6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note reference"/>
    <w:semiHidden/>
    <w:rPr>
      <w:vertAlign w:val="superscript"/>
    </w:rPr>
  </w:style>
  <w:style w:type="character" w:styleId="C4">
    <w:name w:val="Footnote Text Char"/>
    <w:link w:val="P4"/>
    <w:semiHidden/>
    <w:rPr>
      <w:sz w:val="20"/>
      <w:szCs w:val="20"/>
    </w:rPr>
  </w:style>
  <w:style w:type="character" w:styleId="C5">
    <w:name w:val="endnote reference"/>
    <w:semiHidden/>
    <w:rPr>
      <w:vertAlign w:val="superscript"/>
    </w:rPr>
  </w:style>
  <w:style w:type="character" w:styleId="C6">
    <w:name w:val="Endnote Text Char"/>
    <w:link w:val="P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License12.2023 22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Гретц Тетяна</dc:creator>
  <dcterms:created xsi:type="dcterms:W3CDTF">2024-03-13T08:41:00Z</dcterms:created>
  <cp:lastModifiedBy>ASKOD</cp:lastModifiedBy>
  <cp:lastPrinted>2024-04-08T11:49:00Z</cp:lastPrinted>
  <dcterms:modified xsi:type="dcterms:W3CDTF">2024-04-10T11:59:29Z</dcterms:modified>
  <cp:revision>41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